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536F1">
      <w:pPr>
        <w:keepNext/>
        <w:keepLines/>
        <w:widowControl w:val="0"/>
        <w:bidi w:val="0"/>
        <w:spacing w:line="360" w:lineRule="auto"/>
        <w:ind w:left="0" w:firstLine="0"/>
        <w:jc w:val="center"/>
        <w:outlineLvl w:val="0"/>
        <w:rPr>
          <w:rFonts w:hint="eastAsia" w:ascii="Calibri" w:hAnsi="Calibri" w:eastAsia="仿宋" w:cs="Times New Roman"/>
          <w:b/>
          <w:bCs/>
          <w:color w:val="auto"/>
          <w:w w:val="80"/>
          <w:kern w:val="44"/>
          <w:sz w:val="36"/>
          <w:szCs w:val="44"/>
          <w:highlight w:val="none"/>
          <w:lang w:val="en-US" w:eastAsia="zh-CN" w:bidi="ar-SA"/>
        </w:rPr>
      </w:pPr>
      <w:bookmarkStart w:id="0" w:name="_Toc26611"/>
      <w:bookmarkStart w:id="1" w:name="_Toc14735"/>
      <w:bookmarkStart w:id="6" w:name="_GoBack"/>
      <w:r>
        <w:rPr>
          <w:rFonts w:hint="eastAsia" w:ascii="Calibri" w:hAnsi="Calibri" w:eastAsia="仿宋" w:cs="Times New Roman"/>
          <w:b/>
          <w:bCs/>
          <w:color w:val="auto"/>
          <w:w w:val="80"/>
          <w:kern w:val="44"/>
          <w:sz w:val="36"/>
          <w:szCs w:val="44"/>
          <w:highlight w:val="none"/>
          <w:lang w:val="en-US" w:eastAsia="zh-CN" w:bidi="ar-SA"/>
        </w:rPr>
        <w:t>第八章 拟签订采购合同文本</w:t>
      </w:r>
      <w:bookmarkEnd w:id="0"/>
      <w:bookmarkEnd w:id="1"/>
    </w:p>
    <w:bookmarkEnd w:id="6"/>
    <w:p w14:paraId="15565FC1">
      <w:pPr>
        <w:jc w:val="center"/>
        <w:rPr>
          <w:rFonts w:hint="eastAsia" w:ascii="仿宋" w:hAnsi="仿宋" w:eastAsia="仿宋" w:cs="仿宋"/>
          <w:color w:val="auto"/>
          <w:sz w:val="52"/>
          <w:szCs w:val="52"/>
          <w:highlight w:val="none"/>
        </w:rPr>
      </w:pPr>
      <w:r>
        <w:rPr>
          <w:rFonts w:hint="eastAsia" w:ascii="仿宋" w:hAnsi="仿宋" w:eastAsia="仿宋" w:cs="仿宋"/>
          <w:color w:val="auto"/>
          <w:highlight w:val="none"/>
        </w:rPr>
        <w:t xml:space="preserve"> </w:t>
      </w:r>
    </w:p>
    <w:p w14:paraId="11095BD9">
      <w:pPr>
        <w:bidi w:val="0"/>
        <w:rPr>
          <w:rFonts w:hint="eastAsia" w:ascii="仿宋" w:hAnsi="仿宋" w:eastAsia="仿宋" w:cs="仿宋"/>
          <w:color w:val="auto"/>
          <w:highlight w:val="none"/>
        </w:rPr>
      </w:pPr>
    </w:p>
    <w:p w14:paraId="5EA8B4A6">
      <w:pPr>
        <w:spacing w:line="360" w:lineRule="auto"/>
        <w:jc w:val="center"/>
        <w:rPr>
          <w:rFonts w:hint="eastAsia" w:ascii="仿宋" w:hAnsi="仿宋" w:eastAsia="仿宋" w:cs="仿宋"/>
          <w:b/>
          <w:bCs/>
          <w:color w:val="auto"/>
          <w:kern w:val="0"/>
          <w:sz w:val="48"/>
          <w:szCs w:val="48"/>
          <w:highlight w:val="none"/>
          <w:lang w:eastAsia="zh-CN"/>
        </w:rPr>
      </w:pPr>
    </w:p>
    <w:p w14:paraId="192BF69C">
      <w:pPr>
        <w:spacing w:line="360" w:lineRule="auto"/>
        <w:jc w:val="center"/>
        <w:rPr>
          <w:rFonts w:hint="eastAsia" w:ascii="仿宋" w:hAnsi="仿宋" w:eastAsia="仿宋" w:cs="仿宋"/>
          <w:b/>
          <w:bCs/>
          <w:color w:val="auto"/>
          <w:kern w:val="0"/>
          <w:sz w:val="48"/>
          <w:szCs w:val="48"/>
          <w:highlight w:val="none"/>
          <w:lang w:eastAsia="zh-CN"/>
        </w:rPr>
      </w:pPr>
    </w:p>
    <w:p w14:paraId="0FC061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48"/>
          <w:szCs w:val="48"/>
          <w:highlight w:val="none"/>
          <w:lang w:eastAsia="zh-CN"/>
        </w:rPr>
      </w:pPr>
      <w:r>
        <w:rPr>
          <w:rFonts w:hint="eastAsia" w:ascii="仿宋" w:hAnsi="仿宋" w:eastAsia="仿宋" w:cs="仿宋"/>
          <w:b/>
          <w:bCs/>
          <w:color w:val="auto"/>
          <w:kern w:val="0"/>
          <w:sz w:val="48"/>
          <w:szCs w:val="48"/>
          <w:highlight w:val="none"/>
          <w:lang w:eastAsia="zh-CN"/>
        </w:rPr>
        <w:t>西北妇女儿童医院</w:t>
      </w:r>
    </w:p>
    <w:p w14:paraId="5A931B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48"/>
          <w:szCs w:val="48"/>
          <w:highlight w:val="none"/>
          <w:lang w:eastAsia="zh-CN"/>
        </w:rPr>
      </w:pPr>
      <w:r>
        <w:rPr>
          <w:rFonts w:hint="eastAsia" w:ascii="仿宋" w:hAnsi="仿宋" w:eastAsia="仿宋" w:cs="仿宋"/>
          <w:b/>
          <w:bCs/>
          <w:color w:val="auto"/>
          <w:kern w:val="0"/>
          <w:sz w:val="48"/>
          <w:szCs w:val="48"/>
          <w:highlight w:val="none"/>
          <w:lang w:eastAsia="zh-CN"/>
        </w:rPr>
        <w:t>两院区锅炉外包服务合同</w:t>
      </w:r>
    </w:p>
    <w:p w14:paraId="68233BE5">
      <w:pPr>
        <w:jc w:val="center"/>
        <w:rPr>
          <w:rFonts w:hint="eastAsia" w:ascii="仿宋" w:hAnsi="仿宋" w:eastAsia="仿宋" w:cs="仿宋"/>
          <w:b/>
          <w:color w:val="auto"/>
          <w:sz w:val="52"/>
          <w:szCs w:val="52"/>
          <w:highlight w:val="none"/>
        </w:rPr>
      </w:pPr>
    </w:p>
    <w:p w14:paraId="6918F0A6">
      <w:pPr>
        <w:jc w:val="center"/>
        <w:rPr>
          <w:rFonts w:hint="eastAsia" w:ascii="仿宋" w:hAnsi="仿宋" w:eastAsia="仿宋" w:cs="仿宋"/>
          <w:color w:val="auto"/>
          <w:sz w:val="30"/>
          <w:szCs w:val="30"/>
          <w:highlight w:val="none"/>
        </w:rPr>
      </w:pPr>
    </w:p>
    <w:p w14:paraId="69640287">
      <w:pPr>
        <w:widowControl w:val="0"/>
        <w:jc w:val="left"/>
        <w:rPr>
          <w:rFonts w:hint="eastAsia" w:ascii="仿宋" w:hAnsi="仿宋" w:eastAsia="仿宋" w:cs="仿宋"/>
          <w:color w:val="auto"/>
          <w:kern w:val="2"/>
          <w:sz w:val="30"/>
          <w:szCs w:val="30"/>
          <w:highlight w:val="none"/>
          <w:lang w:val="en-US" w:eastAsia="zh-CN" w:bidi="ar-SA"/>
        </w:rPr>
      </w:pPr>
    </w:p>
    <w:p w14:paraId="2C46D8C3">
      <w:pPr>
        <w:rPr>
          <w:rFonts w:hint="eastAsia" w:ascii="仿宋" w:hAnsi="仿宋" w:eastAsia="仿宋" w:cs="仿宋"/>
          <w:color w:val="auto"/>
          <w:highlight w:val="none"/>
        </w:rPr>
      </w:pPr>
    </w:p>
    <w:p w14:paraId="17139FC9">
      <w:pPr>
        <w:jc w:val="center"/>
        <w:rPr>
          <w:rFonts w:hint="eastAsia" w:ascii="仿宋" w:hAnsi="仿宋" w:eastAsia="仿宋" w:cs="仿宋"/>
          <w:color w:val="auto"/>
          <w:sz w:val="30"/>
          <w:szCs w:val="30"/>
          <w:highlight w:val="none"/>
        </w:rPr>
      </w:pPr>
    </w:p>
    <w:p w14:paraId="63074594">
      <w:pPr>
        <w:jc w:val="center"/>
        <w:rPr>
          <w:rFonts w:hint="eastAsia" w:ascii="仿宋" w:hAnsi="仿宋" w:eastAsia="仿宋" w:cs="仿宋"/>
          <w:color w:val="auto"/>
          <w:sz w:val="30"/>
          <w:szCs w:val="30"/>
          <w:highlight w:val="none"/>
        </w:rPr>
      </w:pPr>
    </w:p>
    <w:p w14:paraId="3A26A926">
      <w:pPr>
        <w:jc w:val="center"/>
        <w:rPr>
          <w:rFonts w:hint="eastAsia" w:ascii="仿宋" w:hAnsi="仿宋" w:eastAsia="仿宋" w:cs="仿宋"/>
          <w:color w:val="auto"/>
          <w:sz w:val="30"/>
          <w:szCs w:val="30"/>
          <w:highlight w:val="none"/>
        </w:rPr>
      </w:pPr>
    </w:p>
    <w:p w14:paraId="49D610C4">
      <w:pPr>
        <w:jc w:val="center"/>
        <w:rPr>
          <w:rFonts w:hint="eastAsia" w:ascii="仿宋" w:hAnsi="仿宋" w:eastAsia="仿宋" w:cs="仿宋"/>
          <w:color w:val="auto"/>
          <w:sz w:val="30"/>
          <w:szCs w:val="30"/>
          <w:highlight w:val="none"/>
        </w:rPr>
      </w:pPr>
    </w:p>
    <w:p w14:paraId="79344547">
      <w:pPr>
        <w:jc w:val="center"/>
        <w:rPr>
          <w:rFonts w:hint="eastAsia" w:ascii="仿宋" w:hAnsi="仿宋" w:eastAsia="仿宋" w:cs="仿宋"/>
          <w:color w:val="auto"/>
          <w:sz w:val="28"/>
          <w:szCs w:val="28"/>
          <w:highlight w:val="none"/>
        </w:rPr>
      </w:pPr>
    </w:p>
    <w:p w14:paraId="405EE32F">
      <w:pPr>
        <w:jc w:val="center"/>
        <w:rPr>
          <w:rFonts w:hint="eastAsia" w:ascii="仿宋" w:hAnsi="仿宋" w:eastAsia="仿宋" w:cs="仿宋"/>
          <w:color w:val="auto"/>
          <w:sz w:val="30"/>
          <w:szCs w:val="30"/>
          <w:highlight w:val="none"/>
        </w:rPr>
      </w:pPr>
    </w:p>
    <w:p w14:paraId="005A7E37">
      <w:pPr>
        <w:jc w:val="center"/>
        <w:rPr>
          <w:rFonts w:hint="eastAsia" w:ascii="仿宋" w:hAnsi="仿宋" w:eastAsia="仿宋" w:cs="仿宋"/>
          <w:color w:val="auto"/>
          <w:sz w:val="30"/>
          <w:szCs w:val="30"/>
          <w:highlight w:val="none"/>
        </w:rPr>
      </w:pPr>
    </w:p>
    <w:p w14:paraId="534FB71D">
      <w:pPr>
        <w:spacing w:line="360" w:lineRule="auto"/>
        <w:rPr>
          <w:rFonts w:hint="eastAsia" w:ascii="仿宋" w:hAnsi="仿宋" w:eastAsia="仿宋" w:cs="仿宋"/>
          <w:color w:val="auto"/>
          <w:sz w:val="32"/>
          <w:szCs w:val="32"/>
          <w:highlight w:val="none"/>
        </w:rPr>
      </w:pPr>
    </w:p>
    <w:p w14:paraId="065E7CF7">
      <w:pPr>
        <w:spacing w:line="360" w:lineRule="auto"/>
        <w:ind w:firstLine="567"/>
        <w:rPr>
          <w:rFonts w:hint="eastAsia" w:ascii="仿宋" w:hAnsi="仿宋" w:eastAsia="仿宋" w:cs="仿宋"/>
          <w:color w:val="auto"/>
          <w:sz w:val="32"/>
          <w:szCs w:val="32"/>
          <w:highlight w:val="none"/>
        </w:rPr>
      </w:pPr>
    </w:p>
    <w:p w14:paraId="3A68C9B8">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甲  方：西北妇女儿童医院 </w:t>
      </w:r>
    </w:p>
    <w:p w14:paraId="5231C921">
      <w:pPr>
        <w:spacing w:line="360" w:lineRule="auto"/>
        <w:ind w:firstLine="567"/>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w:t>
      </w:r>
    </w:p>
    <w:p w14:paraId="306B4314">
      <w:pPr>
        <w:rPr>
          <w:rFonts w:hint="eastAsia" w:ascii="仿宋" w:hAnsi="仿宋" w:eastAsia="仿宋" w:cs="仿宋"/>
          <w:color w:val="auto"/>
          <w:sz w:val="32"/>
          <w:szCs w:val="32"/>
          <w:highlight w:val="none"/>
        </w:rPr>
      </w:pPr>
    </w:p>
    <w:p w14:paraId="548A19EC">
      <w:pPr>
        <w:jc w:val="center"/>
        <w:rPr>
          <w:rFonts w:hint="eastAsia" w:ascii="仿宋" w:hAnsi="仿宋" w:eastAsia="仿宋" w:cs="仿宋"/>
          <w:color w:val="auto"/>
          <w:sz w:val="32"/>
          <w:szCs w:val="32"/>
          <w:highlight w:val="none"/>
        </w:rPr>
      </w:pPr>
    </w:p>
    <w:p w14:paraId="1AF1E56F">
      <w:pPr>
        <w:jc w:val="center"/>
        <w:rPr>
          <w:rFonts w:hint="eastAsia" w:ascii="仿宋" w:hAnsi="仿宋" w:eastAsia="仿宋" w:cs="仿宋"/>
          <w:b/>
          <w:color w:val="auto"/>
          <w:sz w:val="52"/>
          <w:szCs w:val="52"/>
          <w:highlight w:val="none"/>
        </w:rPr>
        <w:sectPr>
          <w:pgSz w:w="11906" w:h="16838"/>
          <w:pgMar w:top="1418" w:right="1418" w:bottom="1418" w:left="1418"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4D835D16">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甲方：西北妇女儿童医院</w:t>
      </w:r>
    </w:p>
    <w:p w14:paraId="2464D217">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乙方：</w:t>
      </w:r>
    </w:p>
    <w:p w14:paraId="7AEDEB7C">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Hans"/>
        </w:rPr>
        <w:t>依据《中华人民共和国政府采购法》、《中华人民共和国</w:t>
      </w:r>
      <w:r>
        <w:rPr>
          <w:rFonts w:hint="eastAsia" w:ascii="仿宋" w:hAnsi="仿宋" w:eastAsia="仿宋" w:cs="仿宋"/>
          <w:color w:val="auto"/>
          <w:sz w:val="24"/>
          <w:szCs w:val="24"/>
          <w:highlight w:val="none"/>
          <w:lang w:val="en-US" w:eastAsia="zh-CN"/>
        </w:rPr>
        <w:t>民法典</w:t>
      </w:r>
      <w:r>
        <w:rPr>
          <w:rFonts w:hint="eastAsia" w:ascii="仿宋" w:hAnsi="仿宋" w:eastAsia="仿宋" w:cs="仿宋"/>
          <w:color w:val="auto"/>
          <w:sz w:val="24"/>
          <w:szCs w:val="24"/>
          <w:highlight w:val="none"/>
          <w:lang w:val="en-US" w:eastAsia="zh-Hans"/>
        </w:rPr>
        <w:t>》及其他有关法律、行政法规，遵循平等、自愿、公平和诚实信用的原则，双方就本</w:t>
      </w:r>
      <w:r>
        <w:rPr>
          <w:rFonts w:hint="eastAsia" w:ascii="仿宋" w:hAnsi="仿宋" w:eastAsia="仿宋" w:cs="仿宋"/>
          <w:color w:val="auto"/>
          <w:sz w:val="24"/>
          <w:szCs w:val="24"/>
          <w:highlight w:val="none"/>
          <w:lang w:val="en-US" w:eastAsia="zh-CN"/>
        </w:rPr>
        <w:t>项目</w:t>
      </w:r>
      <w:r>
        <w:rPr>
          <w:rFonts w:hint="eastAsia" w:ascii="仿宋" w:hAnsi="仿宋" w:eastAsia="仿宋" w:cs="仿宋"/>
          <w:color w:val="auto"/>
          <w:sz w:val="24"/>
          <w:szCs w:val="24"/>
          <w:highlight w:val="none"/>
          <w:lang w:val="en-US" w:eastAsia="zh-Hans"/>
        </w:rPr>
        <w:t>协</w:t>
      </w:r>
      <w:r>
        <w:rPr>
          <w:rFonts w:hint="eastAsia" w:ascii="仿宋" w:hAnsi="仿宋" w:eastAsia="仿宋" w:cs="仿宋"/>
          <w:color w:val="auto"/>
          <w:sz w:val="24"/>
          <w:szCs w:val="24"/>
          <w:highlight w:val="none"/>
          <w:lang w:val="en-US" w:eastAsia="zh-CN"/>
        </w:rPr>
        <w:t>商一致，订立本合同。</w:t>
      </w:r>
    </w:p>
    <w:p w14:paraId="3E88EDE0">
      <w:pPr>
        <w:keepNext w:val="0"/>
        <w:keepLines w:val="0"/>
        <w:pageBreakBefore w:val="0"/>
        <w:widowControl w:val="0"/>
        <w:kinsoku/>
        <w:wordWrap/>
        <w:overflowPunct w:val="0"/>
        <w:topLinePunct w:val="0"/>
        <w:autoSpaceDE/>
        <w:autoSpaceDN/>
        <w:bidi w:val="0"/>
        <w:adjustRightInd/>
        <w:snapToGrid/>
        <w:spacing w:line="460" w:lineRule="exact"/>
        <w:textAlignment w:val="auto"/>
        <w:rPr>
          <w:rFonts w:hint="eastAsia" w:ascii="仿宋" w:hAnsi="仿宋" w:eastAsia="仿宋" w:cs="仿宋"/>
          <w:b/>
          <w:bCs/>
          <w:color w:val="auto"/>
          <w:sz w:val="24"/>
          <w:szCs w:val="24"/>
          <w:highlight w:val="none"/>
          <w:lang w:val="en-US" w:eastAsia="zh-CN"/>
        </w:rPr>
      </w:pPr>
      <w:bookmarkStart w:id="2" w:name="_Toc17778"/>
      <w:r>
        <w:rPr>
          <w:rFonts w:hint="eastAsia" w:ascii="仿宋" w:hAnsi="仿宋" w:eastAsia="仿宋" w:cs="仿宋"/>
          <w:b/>
          <w:bCs/>
          <w:color w:val="auto"/>
          <w:sz w:val="24"/>
          <w:szCs w:val="24"/>
          <w:highlight w:val="none"/>
          <w:lang w:val="en-US" w:eastAsia="zh-CN"/>
        </w:rPr>
        <w:t>一、服务内容</w:t>
      </w:r>
      <w:bookmarkEnd w:id="2"/>
    </w:p>
    <w:p w14:paraId="15BD9249">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（一）项目简介</w:t>
      </w:r>
    </w:p>
    <w:p w14:paraId="16036050">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曲江院区建筑面积15万平方米，2015年投入使用。共有8吨热水锅炉3台、10吨热水锅炉1台、0.5吨蒸汽锅炉2台，及换热站等配套辅助设备。锅炉系统全年运行。</w:t>
      </w:r>
    </w:p>
    <w:p w14:paraId="0EBFE7B3">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后宰门院区建筑面积1.7万平方米，共有2吨热水锅炉1台，市政供暖故障时应急启用。</w:t>
      </w:r>
    </w:p>
    <w:p w14:paraId="258A6921">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社会路家属院建筑面积约1.2万平方米，0.5吨热水锅炉3台。锅炉系统采暖季运行（实际运行时间以采购人要求为准）</w:t>
      </w:r>
    </w:p>
    <w:p w14:paraId="3F5BE09E">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维保界限划分。室内部分：锅炉房、换热站内；室外部分：锅炉房、换热站外墙2米内管网。</w:t>
      </w:r>
    </w:p>
    <w:p w14:paraId="2B40DF0F">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lang w:val="en-US" w:eastAsia="zh-Hans"/>
        </w:rPr>
        <w:t>服务范围</w:t>
      </w:r>
    </w:p>
    <w:p w14:paraId="050D0A48">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1</w:t>
      </w:r>
      <w:r>
        <w:rPr>
          <w:rFonts w:hint="eastAsia" w:ascii="仿宋" w:hAnsi="仿宋" w:eastAsia="仿宋" w:cs="仿宋"/>
          <w:color w:val="auto"/>
          <w:sz w:val="24"/>
          <w:szCs w:val="24"/>
          <w:highlight w:val="none"/>
          <w:lang w:val="en-US" w:eastAsia="zh-CN"/>
        </w:rPr>
        <w:t>.锅炉</w:t>
      </w:r>
      <w:r>
        <w:rPr>
          <w:rFonts w:hint="eastAsia" w:ascii="仿宋" w:hAnsi="仿宋" w:eastAsia="仿宋" w:cs="仿宋"/>
          <w:color w:val="auto"/>
          <w:sz w:val="24"/>
          <w:szCs w:val="24"/>
          <w:highlight w:val="none"/>
          <w:lang w:val="en-US" w:eastAsia="zh-Hans"/>
        </w:rPr>
        <w:t>系统的日常运行和维护；</w:t>
      </w:r>
    </w:p>
    <w:p w14:paraId="0BE7FB1E">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Hans"/>
        </w:rPr>
        <w:t>西北妇女儿童医院曲江院区燃气锅炉系统全年运行管理、维护保养及年检服务；后宰门院区燃气锅炉系统全年维护保养服务、应急运行管理；社会路家属院锅炉系统采暖季运行管理、维护保养服务。</w:t>
      </w:r>
    </w:p>
    <w:p w14:paraId="6645BB45">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en-US" w:eastAsia="zh-Hans"/>
        </w:rPr>
        <w:t>包括</w:t>
      </w:r>
      <w:r>
        <w:rPr>
          <w:rFonts w:hint="eastAsia" w:ascii="仿宋" w:hAnsi="仿宋" w:eastAsia="仿宋" w:cs="仿宋"/>
          <w:color w:val="auto"/>
          <w:sz w:val="24"/>
          <w:szCs w:val="24"/>
          <w:highlight w:val="none"/>
          <w:lang w:val="en-US" w:eastAsia="zh-CN"/>
        </w:rPr>
        <w:t>但不限于以下</w:t>
      </w:r>
      <w:r>
        <w:rPr>
          <w:rFonts w:hint="eastAsia" w:ascii="仿宋" w:hAnsi="仿宋" w:eastAsia="仿宋" w:cs="仿宋"/>
          <w:color w:val="auto"/>
          <w:sz w:val="24"/>
          <w:szCs w:val="24"/>
          <w:highlight w:val="none"/>
          <w:lang w:val="en-US" w:eastAsia="zh-Hans"/>
        </w:rPr>
        <w:t>服务内容</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Hans"/>
        </w:rPr>
        <w:t>保证系统正常运行及需要更换的器材、配件和维保工具、</w:t>
      </w:r>
      <w:r>
        <w:rPr>
          <w:rFonts w:hint="eastAsia" w:ascii="仿宋" w:hAnsi="仿宋" w:eastAsia="仿宋" w:cs="仿宋"/>
          <w:color w:val="auto"/>
          <w:sz w:val="24"/>
          <w:szCs w:val="24"/>
          <w:highlight w:val="none"/>
          <w:lang w:val="en-US" w:eastAsia="zh-CN"/>
        </w:rPr>
        <w:t>锅炉和压力管道检测、锅炉系统所有压力表、安全阀定期校验、锅炉能效测试、</w:t>
      </w:r>
      <w:r>
        <w:rPr>
          <w:rFonts w:hint="eastAsia" w:ascii="仿宋" w:hAnsi="仿宋" w:eastAsia="仿宋" w:cs="仿宋"/>
          <w:color w:val="auto"/>
          <w:sz w:val="24"/>
          <w:szCs w:val="24"/>
          <w:highlight w:val="none"/>
          <w:lang w:val="en-US" w:eastAsia="zh-Hans"/>
        </w:rPr>
        <w:t>维保服务人员工资（不得低于本地区最低工资标准）、社保、福利等及其它相关的费用，因不可抗力（如：地震、洪水、战争、武装冲突、罢工、骚乱、暴动等 ）所造成的锅炉系统大修、采购人要求的系统改造除外。</w:t>
      </w:r>
    </w:p>
    <w:p w14:paraId="55ED5748">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val="en-US" w:eastAsia="zh-Hans"/>
        </w:rPr>
        <w:t>）服务要求</w:t>
      </w:r>
    </w:p>
    <w:p w14:paraId="1847B379">
      <w:pPr>
        <w:spacing w:line="360" w:lineRule="auto"/>
        <w:ind w:right="28"/>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总体要求：</w:t>
      </w:r>
    </w:p>
    <w:p w14:paraId="5930A2D8">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1.负责服务范围内所有项目的值班、运行操作、现场巡检、日常维保等管理工作,配合医院做好相关项目的年检工作，确保锅炉系统正常运行，并满足医院使用要求,同时又能做好各项节能工作。</w:t>
      </w:r>
    </w:p>
    <w:p w14:paraId="3790DD50">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2.工作人员必须有专业上岗证，具有丰富的技术经验。</w:t>
      </w:r>
    </w:p>
    <w:p w14:paraId="524147D7">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具体要求：</w:t>
      </w:r>
    </w:p>
    <w:p w14:paraId="44E706CF">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1.运行管理内容</w:t>
      </w:r>
    </w:p>
    <w:p w14:paraId="2385F0D0">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负责医院两院区的锅炉及附属设备全年运行管理、日常巡检、定期保养、故障维修，严格遵守《特种设备安全法》《锅炉安全技术监察规程》等法规标准，确保锅炉系统安全、稳定、高效运行，满足医院供暖、消毒等用热需求，延长设备使用寿命。</w:t>
      </w:r>
    </w:p>
    <w:p w14:paraId="212456A5">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2.维修响应时间要求</w:t>
      </w:r>
    </w:p>
    <w:p w14:paraId="0C5686E2">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（1）不需更换配件的故障（如阀门轻微泄漏、仪表校准等），在故障出现后1小时内得到解决。</w:t>
      </w:r>
    </w:p>
    <w:p w14:paraId="3664B7D3">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3.对需要更换配件的故障：</w:t>
      </w:r>
    </w:p>
    <w:p w14:paraId="194E5C69">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（1）若该配件是市场上可购买到的通用配件（如普通阀门、压力表等），故障要求在3小时内得到解决。</w:t>
      </w:r>
    </w:p>
    <w:p w14:paraId="0C308647">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（2）需要更换设备厂家的专用配件（如燃烧器部件、专用传感器等），在配件到达现场后2小时内解决（无需停炉的常规配件更换）。</w:t>
      </w:r>
    </w:p>
    <w:p w14:paraId="652C56C9">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（3）需要更换设备厂家的专用配件且需停炉更换（如给水泵电机、小型燃烧器组件等），在配件到达现场后12小时内解决。</w:t>
      </w:r>
    </w:p>
    <w:p w14:paraId="78882A95">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（4）特大故障（如锅炉炉胆轻微渗漏、燃烧器主体更换、安全阀故障等），在配件到达现场起72小时内解决，期间需提供临时供暖/供汽方案（如启用备用设备、协调外部临时热源等）。</w:t>
      </w:r>
    </w:p>
    <w:p w14:paraId="4A8BDFCE">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4、如在规定期限内不能解决故障，每超过4个小时，对供应商进行罚款，每次罚款金额为2000元；若因故障导致医院停热/停汽超过24小时，额外扣除当月服务费的10%。</w:t>
      </w:r>
    </w:p>
    <w:p w14:paraId="30B4497D">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（四）其他维保注意事项</w:t>
      </w:r>
    </w:p>
    <w:p w14:paraId="5FA23811">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锅炉开机前需按《锅炉安全技术监察规程》要求进行全面检查，每年定期配合特种设备检验检测机构完成锅炉定期检验（年检、能效测试等），相关检测费用由供应商承担（含特种设备检验机构收取的法定检验费）。</w:t>
      </w:r>
    </w:p>
    <w:p w14:paraId="71E1E06A">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2、安全阀、压力表等安全附件需按法规要求定期校验（安全阀每半年至少1次整定校验，压力表每半年至少1次检定），校验需由具备资质的单位实施，费用由供应商承担。</w:t>
      </w:r>
    </w:p>
    <w:p w14:paraId="283FA79E">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3、当空气传播性疾病在当地暴发流行时（即国家正式公布为疫区时），成交供应商应当每周对锅炉机房通风系统、操作区域进行清洁消毒，对锅炉水质加强监测（增加水质检测频次至每周2次），确保水质达标。</w:t>
      </w:r>
    </w:p>
    <w:p w14:paraId="4BD2F4B2">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4、针对锅炉可能发生的突发事件（如缺水、超压、熄火、燃气泄漏等）制订详细的应急预案及应急演练方案，应急演练每季度组织进行一次，演练记录需提交院方备案。</w:t>
      </w:r>
    </w:p>
    <w:p w14:paraId="4DAA41A4">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（五）服务质量考核</w:t>
      </w:r>
    </w:p>
    <w:p w14:paraId="3181715D">
      <w:pPr>
        <w:keepNext w:val="0"/>
        <w:keepLines w:val="0"/>
        <w:pageBreakBefore w:val="0"/>
        <w:widowControl w:val="0"/>
        <w:kinsoku/>
        <w:wordWrap/>
        <w:overflowPunct w:val="0"/>
        <w:topLinePunct w:val="0"/>
        <w:autoSpaceDE/>
        <w:autoSpaceDN/>
        <w:bidi w:val="0"/>
        <w:adjustRightInd/>
        <w:snapToGrid/>
        <w:spacing w:line="4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甲方每月按照《西北妇女儿童医院两院区两院区锅炉外包服务考核办法》(见附件1)对乙方进行综合考核，并做好考核记录。</w:t>
      </w:r>
    </w:p>
    <w:p w14:paraId="608939EF">
      <w:pPr>
        <w:numPr>
          <w:ilvl w:val="0"/>
          <w:numId w:val="1"/>
        </w:numPr>
        <w:tabs>
          <w:tab w:val="left" w:pos="480"/>
        </w:tabs>
        <w:spacing w:line="360" w:lineRule="auto"/>
        <w:ind w:left="120" w:leftChars="0" w:firstLine="0" w:firstLineChars="0"/>
        <w:rPr>
          <w:rFonts w:hint="eastAsia" w:ascii="Calibri" w:hAnsi="Calibri" w:eastAsia="宋体" w:cs="Times New Roman"/>
          <w:lang w:val="en-US" w:eastAsia="zh-CN"/>
        </w:rPr>
      </w:pPr>
      <w:r>
        <w:rPr>
          <w:rFonts w:hint="eastAsia" w:ascii="仿宋" w:hAnsi="仿宋" w:eastAsia="仿宋" w:cs="仿宋"/>
          <w:b/>
          <w:color w:val="auto"/>
          <w:sz w:val="24"/>
          <w:szCs w:val="24"/>
          <w:highlight w:val="none"/>
        </w:rPr>
        <w:t>服务期限：</w:t>
      </w:r>
    </w:p>
    <w:p w14:paraId="0D8F871F">
      <w:pPr>
        <w:numPr>
          <w:ilvl w:val="-1"/>
          <w:numId w:val="0"/>
        </w:numPr>
        <w:tabs>
          <w:tab w:val="left" w:pos="480"/>
        </w:tabs>
        <w:spacing w:line="360" w:lineRule="auto"/>
        <w:ind w:left="120" w:firstLine="220" w:firstLineChars="100"/>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val="0"/>
          <w:color w:val="auto"/>
          <w:kern w:val="0"/>
          <w:sz w:val="22"/>
          <w:szCs w:val="22"/>
          <w:highlight w:val="none"/>
        </w:rPr>
        <w:t>计划服务期三年，合同根据考核情况一年一签</w:t>
      </w:r>
      <w:r>
        <w:rPr>
          <w:rFonts w:hint="eastAsia" w:ascii="仿宋" w:hAnsi="仿宋" w:eastAsia="仿宋" w:cs="仿宋"/>
          <w:b w:val="0"/>
          <w:color w:val="auto"/>
          <w:kern w:val="0"/>
          <w:sz w:val="22"/>
          <w:szCs w:val="22"/>
          <w:highlight w:val="none"/>
          <w:lang w:eastAsia="zh-CN"/>
        </w:rPr>
        <w:t>。</w:t>
      </w:r>
      <w:r>
        <w:rPr>
          <w:rFonts w:hint="eastAsia" w:ascii="仿宋" w:hAnsi="仿宋" w:eastAsia="仿宋" w:cs="仿宋"/>
          <w:b w:val="0"/>
          <w:color w:val="auto"/>
          <w:kern w:val="0"/>
          <w:sz w:val="22"/>
          <w:szCs w:val="22"/>
          <w:highlight w:val="none"/>
          <w:lang w:val="en-US" w:eastAsia="zh-CN"/>
        </w:rPr>
        <w:t>本次为第一年度合同，服务期限为2025年</w:t>
      </w:r>
      <w:r>
        <w:rPr>
          <w:rFonts w:hint="eastAsia" w:ascii="仿宋" w:hAnsi="仿宋" w:eastAsia="仿宋" w:cs="仿宋"/>
          <w:b w:val="0"/>
          <w:color w:val="auto"/>
          <w:kern w:val="0"/>
          <w:sz w:val="22"/>
          <w:szCs w:val="22"/>
          <w:highlight w:val="none"/>
          <w:u w:val="single"/>
          <w:lang w:val="en-US" w:eastAsia="zh-CN"/>
        </w:rPr>
        <w:t>*</w:t>
      </w:r>
      <w:r>
        <w:rPr>
          <w:rFonts w:hint="eastAsia" w:ascii="仿宋" w:hAnsi="仿宋" w:eastAsia="仿宋" w:cs="仿宋"/>
          <w:b w:val="0"/>
          <w:color w:val="auto"/>
          <w:kern w:val="0"/>
          <w:sz w:val="22"/>
          <w:szCs w:val="22"/>
          <w:highlight w:val="none"/>
          <w:lang w:val="en-US" w:eastAsia="zh-CN"/>
        </w:rPr>
        <w:t>月</w:t>
      </w:r>
      <w:r>
        <w:rPr>
          <w:rFonts w:hint="eastAsia" w:ascii="仿宋" w:hAnsi="仿宋" w:eastAsia="仿宋" w:cs="仿宋"/>
          <w:b w:val="0"/>
          <w:color w:val="auto"/>
          <w:kern w:val="0"/>
          <w:sz w:val="22"/>
          <w:szCs w:val="22"/>
          <w:highlight w:val="none"/>
          <w:u w:val="single"/>
          <w:lang w:val="en-US" w:eastAsia="zh-CN"/>
        </w:rPr>
        <w:t>*</w:t>
      </w:r>
      <w:r>
        <w:rPr>
          <w:rFonts w:hint="eastAsia" w:ascii="仿宋" w:hAnsi="仿宋" w:eastAsia="仿宋" w:cs="仿宋"/>
          <w:b w:val="0"/>
          <w:color w:val="auto"/>
          <w:kern w:val="0"/>
          <w:sz w:val="22"/>
          <w:szCs w:val="22"/>
          <w:highlight w:val="none"/>
          <w:lang w:val="en-US" w:eastAsia="zh-CN"/>
        </w:rPr>
        <w:t xml:space="preserve">日止2026年 </w:t>
      </w:r>
      <w:r>
        <w:rPr>
          <w:rFonts w:hint="eastAsia" w:ascii="仿宋" w:hAnsi="仿宋" w:eastAsia="仿宋" w:cs="仿宋"/>
          <w:b w:val="0"/>
          <w:color w:val="auto"/>
          <w:kern w:val="0"/>
          <w:sz w:val="22"/>
          <w:szCs w:val="22"/>
          <w:highlight w:val="none"/>
          <w:u w:val="single"/>
          <w:lang w:val="en-US" w:eastAsia="zh-CN"/>
        </w:rPr>
        <w:t>*</w:t>
      </w:r>
      <w:r>
        <w:rPr>
          <w:rFonts w:hint="eastAsia" w:ascii="仿宋" w:hAnsi="仿宋" w:eastAsia="仿宋" w:cs="仿宋"/>
          <w:b w:val="0"/>
          <w:color w:val="auto"/>
          <w:kern w:val="0"/>
          <w:sz w:val="22"/>
          <w:szCs w:val="22"/>
          <w:highlight w:val="none"/>
          <w:lang w:val="en-US" w:eastAsia="zh-CN"/>
        </w:rPr>
        <w:t>月</w:t>
      </w:r>
      <w:r>
        <w:rPr>
          <w:rFonts w:hint="eastAsia" w:ascii="仿宋" w:hAnsi="仿宋" w:eastAsia="仿宋" w:cs="仿宋"/>
          <w:b w:val="0"/>
          <w:color w:val="auto"/>
          <w:kern w:val="0"/>
          <w:sz w:val="22"/>
          <w:szCs w:val="22"/>
          <w:highlight w:val="none"/>
          <w:u w:val="single"/>
          <w:lang w:val="en-US" w:eastAsia="zh-CN"/>
        </w:rPr>
        <w:t>*</w:t>
      </w:r>
      <w:r>
        <w:rPr>
          <w:rFonts w:hint="eastAsia" w:ascii="仿宋" w:hAnsi="仿宋" w:eastAsia="仿宋" w:cs="仿宋"/>
          <w:b w:val="0"/>
          <w:color w:val="auto"/>
          <w:kern w:val="0"/>
          <w:sz w:val="22"/>
          <w:szCs w:val="22"/>
          <w:highlight w:val="none"/>
          <w:lang w:val="en-US" w:eastAsia="zh-CN"/>
        </w:rPr>
        <w:t xml:space="preserve"> 日</w:t>
      </w:r>
    </w:p>
    <w:p w14:paraId="67AB54B5">
      <w:pPr>
        <w:tabs>
          <w:tab w:val="left" w:pos="480"/>
        </w:tabs>
        <w:spacing w:line="360" w:lineRule="auto"/>
        <w:rPr>
          <w:rFonts w:hint="eastAsia" w:ascii="仿宋" w:hAnsi="仿宋" w:eastAsia="仿宋" w:cs="仿宋"/>
          <w:b/>
          <w:color w:val="auto"/>
          <w:sz w:val="24"/>
          <w:szCs w:val="24"/>
          <w:highlight w:val="none"/>
          <w:lang w:val="en-US" w:eastAsia="zh-CN"/>
        </w:rPr>
      </w:pPr>
      <w:bookmarkStart w:id="3" w:name="_Toc11704"/>
      <w:r>
        <w:rPr>
          <w:rFonts w:hint="eastAsia" w:ascii="仿宋" w:hAnsi="仿宋" w:eastAsia="仿宋" w:cs="仿宋"/>
          <w:b/>
          <w:color w:val="auto"/>
          <w:sz w:val="24"/>
          <w:szCs w:val="24"/>
          <w:highlight w:val="none"/>
          <w:lang w:val="en-US" w:eastAsia="zh-CN"/>
        </w:rPr>
        <w:t>三</w:t>
      </w:r>
      <w:r>
        <w:rPr>
          <w:rFonts w:hint="eastAsia" w:ascii="仿宋" w:hAnsi="仿宋" w:eastAsia="仿宋" w:cs="仿宋"/>
          <w:b/>
          <w:color w:val="auto"/>
          <w:sz w:val="24"/>
          <w:szCs w:val="24"/>
          <w:highlight w:val="none"/>
        </w:rPr>
        <w:t>、合同价款</w:t>
      </w:r>
      <w:r>
        <w:rPr>
          <w:rFonts w:hint="eastAsia" w:ascii="仿宋" w:hAnsi="仿宋" w:eastAsia="仿宋" w:cs="仿宋"/>
          <w:b/>
          <w:color w:val="auto"/>
          <w:sz w:val="24"/>
          <w:szCs w:val="24"/>
          <w:highlight w:val="none"/>
          <w:lang w:val="en-US" w:eastAsia="zh-CN"/>
        </w:rPr>
        <w:t>及支付方式</w:t>
      </w:r>
      <w:bookmarkEnd w:id="3"/>
    </w:p>
    <w:p w14:paraId="3DB654E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 合同总价款为（大写）人民币</w:t>
      </w:r>
      <w:r>
        <w:rPr>
          <w:rFonts w:hint="eastAsia" w:ascii="仿宋" w:hAnsi="仿宋" w:eastAsia="仿宋" w:cs="仿宋"/>
          <w:b w:val="0"/>
          <w:color w:val="auto"/>
          <w:spacing w:val="0"/>
          <w:w w:val="100"/>
          <w:kern w:val="0"/>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b w:val="0"/>
          <w:color w:val="auto"/>
          <w:spacing w:val="0"/>
          <w:w w:val="100"/>
          <w:kern w:val="0"/>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2DD766CD">
      <w:pPr>
        <w:keepNext w:val="0"/>
        <w:keepLines w:val="0"/>
        <w:pageBreakBefore w:val="0"/>
        <w:widowControl w:val="0"/>
        <w:kinsoku/>
        <w:wordWrap/>
        <w:overflowPunct w:val="0"/>
        <w:topLinePunct w:val="0"/>
        <w:autoSpaceDE/>
        <w:autoSpaceDN/>
        <w:bidi w:val="0"/>
        <w:adjustRightInd/>
        <w:snapToGrid/>
        <w:spacing w:line="4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Hans"/>
        </w:rPr>
        <w:t>（二）合同总价包括</w:t>
      </w:r>
      <w:r>
        <w:rPr>
          <w:rFonts w:hint="eastAsia" w:ascii="仿宋" w:hAnsi="仿宋" w:eastAsia="仿宋" w:cs="仿宋"/>
          <w:color w:val="auto"/>
          <w:kern w:val="2"/>
          <w:sz w:val="24"/>
          <w:szCs w:val="24"/>
          <w:highlight w:val="none"/>
          <w:lang w:val="en-US" w:eastAsia="zh-CN" w:bidi="ar-SA"/>
        </w:rPr>
        <w:t>：按月支付，根据考核情况支付月服务费用，每次付款前，供应商开具符合税法规定的等额正规发票，采购人以银行转账的方式向供应商支付相应金额的服务费。合同总价一次包死，包括但不限于完成维保工作内容所需的基本工资、绩效工资、福利、社会保险费用、培训、服装、办公费用、利润、税金、政策性文件规定的费用、检测费用（日常免费维修清单、其他材料、备件，乙方必须建立并严格执行设备的运行安全操作规程。在正常维保的前提下，如设备故障需要维修，设备零部件单次或单个零配件价值1000元以内(含1000元)的设备维修费用由乙方承担，乙方提出可行方案，甲方审核并同意后进行实施;设备零部件单次或单个零配件价值1000元以上的，由乙方提出可行方案及费用，书面报告甲方，甲方组织市场论证，甲方在设备及零配件费用不得高出市场价的基础上，由成甲方负责更换维修。只计算配件材料费，人工费不予计算。合同总价包含2万元节能措施奖励，根据全年运行燃气消耗情况在最后一个月按比例支付。参照依据2024年曲江院区锅炉全年用气量105万m³，服务单位年运行燃气消耗量每降低1％，支付5000元节能措施奖励，以此类推，最高奖励2万元。</w:t>
      </w:r>
    </w:p>
    <w:p w14:paraId="06C1F02F">
      <w:pPr>
        <w:keepNext w:val="0"/>
        <w:keepLines w:val="0"/>
        <w:pageBreakBefore w:val="0"/>
        <w:widowControl w:val="0"/>
        <w:kinsoku/>
        <w:wordWrap/>
        <w:overflowPunct w:val="0"/>
        <w:topLinePunct w:val="0"/>
        <w:autoSpaceDE/>
        <w:autoSpaceDN/>
        <w:bidi w:val="0"/>
        <w:adjustRightInd/>
        <w:snapToGrid/>
        <w:spacing w:line="46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（三）合同总价一次性包死，不受市场价格变化因素的影响。</w:t>
      </w:r>
    </w:p>
    <w:p w14:paraId="31774329">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（四）支付方式：银行转账，按月支付，根据考核情况支付月服务费用，每次付款前，供应商开具符合税法规定的等额正规发票，采购人以银行转账的方式向供应商支付相应金额的服务费。</w:t>
      </w:r>
    </w:p>
    <w:p w14:paraId="5DE1BBE1">
      <w:pPr>
        <w:tabs>
          <w:tab w:val="left" w:pos="480"/>
        </w:tabs>
        <w:spacing w:line="360" w:lineRule="auto"/>
        <w:rPr>
          <w:rFonts w:hint="eastAsia" w:ascii="仿宋" w:hAnsi="仿宋" w:eastAsia="仿宋" w:cs="仿宋"/>
          <w:b/>
          <w:color w:val="auto"/>
          <w:sz w:val="24"/>
          <w:szCs w:val="24"/>
          <w:highlight w:val="none"/>
          <w:lang w:val="en-US" w:eastAsia="zh-CN"/>
        </w:rPr>
      </w:pPr>
      <w:bookmarkStart w:id="4" w:name="_Toc30678"/>
      <w:r>
        <w:rPr>
          <w:rFonts w:hint="eastAsia" w:ascii="仿宋" w:hAnsi="仿宋" w:eastAsia="仿宋" w:cs="仿宋"/>
          <w:b/>
          <w:color w:val="auto"/>
          <w:sz w:val="24"/>
          <w:szCs w:val="24"/>
          <w:highlight w:val="none"/>
          <w:lang w:val="en-US" w:eastAsia="zh-CN"/>
        </w:rPr>
        <w:t>四、双方的权利和义务</w:t>
      </w:r>
      <w:bookmarkEnd w:id="4"/>
    </w:p>
    <w:p w14:paraId="09D2C705">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（一）甲方的权利和义务</w:t>
      </w:r>
    </w:p>
    <w:p w14:paraId="31DCE804">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甲方有权依据合同约定及招标文件要求对乙方的服务项目进行月、季、年度考核：有关部门每月对后勤服务考核评定，考核方法按《西北妇女儿童医院两院区两院区锅炉外包服务考核办法》（见附件1）执行。如因乙方管理不善未能达到有关议定的服务质量指标，甲方应以书面通知书方式通知乙方，乙方于收到通知后7日内整改，若乙方未能按时整改或是整改达不到甲方预期的效果，甲方可按照《西北妇女儿童医院两院区两院区锅炉外包服务考核办法》（见附件1）进行惩罚。</w:t>
      </w:r>
    </w:p>
    <w:p w14:paraId="599228EA">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2、乙方的年度管理计划需经甲方审议通过。否则，由此造成的一切后果由乙方自行承担。</w:t>
      </w:r>
    </w:p>
    <w:p w14:paraId="46375814">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3、合同执行期间甲方对乙方工作人员不承担安全管理责任。乙方工作人员因履行本合同向甲方主张任何权利的，乙方负责解决，与甲方无关，甲方由此产生任何损失由乙方承担。</w:t>
      </w:r>
    </w:p>
    <w:p w14:paraId="3BE8290E">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4、甲方在本合同生效之日起十个工作日内向乙方提供服务项目相关档案资料，并在乙方服务期满后予以收回。</w:t>
      </w:r>
    </w:p>
    <w:p w14:paraId="1D10CA40">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5、甲方有权向乙方提出具体问题的意见和建议。</w:t>
      </w:r>
    </w:p>
    <w:p w14:paraId="2D6F27AE">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6、甲方有义务向乙方提供办公场所。</w:t>
      </w:r>
    </w:p>
    <w:p w14:paraId="78B55C2A">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7、如甲方认定乙方人员不按合同履行其职责，甲方有权要求乙方更换相关管理人员，且乙方应在五个工作日内更换相关人员。否则，乙方应承担由此给甲方造成的全部损失，并按当月服务费的10%支付违约金。</w:t>
      </w:r>
    </w:p>
    <w:p w14:paraId="68290F51">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（二）乙方权利和义务</w:t>
      </w:r>
    </w:p>
    <w:p w14:paraId="38F69E2F">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1.根据有关法律、法规及本合同的约定，制订各项服务管理办法及实施细则，并报甲方审核通过之后，方可开展各项管理活动。</w:t>
      </w:r>
    </w:p>
    <w:p w14:paraId="2DEBE076">
      <w:pPr>
        <w:keepNext w:val="0"/>
        <w:keepLines w:val="0"/>
        <w:pageBreakBefore w:val="0"/>
        <w:kinsoku/>
        <w:wordWrap/>
        <w:topLinePunct w:val="0"/>
        <w:autoSpaceDE/>
        <w:autoSpaceDN/>
        <w:bidi w:val="0"/>
        <w:adjustRightInd/>
        <w:snapToGrid/>
        <w:spacing w:line="460" w:lineRule="exact"/>
        <w:ind w:firstLine="480" w:firstLineChars="200"/>
        <w:textAlignment w:val="auto"/>
        <w:outlineLvl w:val="2"/>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乙方工作人员应自觉遵守甲方各项规章制度否则，每发现一次，扣除乙方当月服务费用的3%；2个月内累计发现5次的，视乙方根本违约，甲方有权解除合同（合同自书面解除通知到达乙方之日起解除），并按本合同第五条第（二）款之约定承担违约责任。</w:t>
      </w:r>
    </w:p>
    <w:p w14:paraId="5DE948F1">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3.乙方应严格按照锅炉系统的相关专业维修保养要求及相关法律法规的要求，为甲方提供锅炉系统的运行、维修保养服务，确保锅炉系统高效、安全、正常运行。</w:t>
      </w:r>
    </w:p>
    <w:p w14:paraId="371E6B06">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4.根据维保计划每月向甲方提供详细的维保情况报告、检修报告及保养建议书，此类报告、建议书等均要经过甲乙双方指定人员书面确认，以便建档备查。</w:t>
      </w:r>
    </w:p>
    <w:p w14:paraId="68AF00CA">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5.乙方不得对本项目进行分包或转包，如经发现，甲方有权终止合同。</w:t>
      </w:r>
    </w:p>
    <w:p w14:paraId="2F43043A">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6.乙方工作人员在提供维保服务时，应遵守甲方规章制度，服从甲方管理、监督和考核。</w:t>
      </w:r>
    </w:p>
    <w:p w14:paraId="5E9CB0A2">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紧急维修：在接到甲方紧急报修通知后，乙方应指派专业维修工作人员于10分钟内到达甲方发生故障的设备现场进行维修（从接到报修电话到赶到故障现场头尾时间不得超过10分钟)，所有的应急维修必须快捷高效，有标准的维修单记录维修情况，并由甲方相关授权人员在维修单上签名确认。如乙方未能在上述约定的时间内到达甲方故障现场，每次扣除当月服务费2000元。</w:t>
      </w:r>
    </w:p>
    <w:p w14:paraId="780B5B87">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乙方必须与委派或更换到甲方服务的工作人员签订劳动合同，并依法为工作人员缴纳相应的社会保险，同时必须将相应的合同文本及足额缴纳的各项社会保险的凭证加盖乙方公章如实在甲方处备案。乙方委派或更换到甲方服务的工作人员工资、福利由乙方足额支付，如存在拖欠工资或福利的情形，乙方应及时协商解决，如协商不成，甲方有权拒绝向乙方支付相应服务费。</w:t>
      </w:r>
    </w:p>
    <w:p w14:paraId="495A968A">
      <w:pPr>
        <w:keepNext w:val="0"/>
        <w:keepLines w:val="0"/>
        <w:pageBreakBefore w:val="0"/>
        <w:widowControl w:val="0"/>
        <w:kinsoku/>
        <w:wordWrap/>
        <w:overflowPunct w:val="0"/>
        <w:topLinePunct w:val="0"/>
        <w:autoSpaceDE/>
        <w:autoSpaceDN/>
        <w:bidi w:val="0"/>
        <w:adjustRightInd/>
        <w:snapToGrid/>
        <w:spacing w:line="460" w:lineRule="exact"/>
        <w:ind w:firstLine="482"/>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9.甲方与乙方委派或更换到甲方服务的工作人员之间不能存在任何劳动关系，若乙方服务人员因劳动争议等与乙方发生任何纠纷的，由乙方负责解决，与甲方无关。若因此给甲方造成任何损失的，由乙方负责全额赔</w:t>
      </w:r>
      <w:r>
        <w:rPr>
          <w:rFonts w:hint="eastAsia" w:ascii="仿宋" w:hAnsi="仿宋" w:eastAsia="仿宋" w:cs="仿宋"/>
          <w:color w:val="auto"/>
          <w:sz w:val="24"/>
          <w:szCs w:val="24"/>
          <w:highlight w:val="none"/>
          <w:lang w:val="en-US" w:eastAsia="zh-Hans"/>
        </w:rPr>
        <w:t>偿。</w:t>
      </w:r>
    </w:p>
    <w:p w14:paraId="2CA51852">
      <w:pPr>
        <w:tabs>
          <w:tab w:val="left" w:pos="480"/>
        </w:tabs>
        <w:spacing w:line="360" w:lineRule="auto"/>
        <w:rPr>
          <w:rFonts w:hint="eastAsia" w:ascii="仿宋" w:hAnsi="仿宋" w:eastAsia="仿宋" w:cs="仿宋"/>
          <w:b/>
          <w:color w:val="auto"/>
          <w:sz w:val="24"/>
          <w:szCs w:val="24"/>
          <w:highlight w:val="none"/>
          <w:lang w:val="en-US" w:eastAsia="zh-CN"/>
        </w:rPr>
      </w:pPr>
      <w:bookmarkStart w:id="5" w:name="_Toc2644"/>
      <w:r>
        <w:rPr>
          <w:rFonts w:hint="eastAsia" w:ascii="仿宋" w:hAnsi="仿宋" w:eastAsia="仿宋" w:cs="仿宋"/>
          <w:b/>
          <w:color w:val="auto"/>
          <w:sz w:val="24"/>
          <w:szCs w:val="24"/>
          <w:highlight w:val="none"/>
          <w:lang w:val="en-US" w:eastAsia="zh-CN"/>
        </w:rPr>
        <w:t>五 、违约责任</w:t>
      </w:r>
      <w:bookmarkEnd w:id="5"/>
    </w:p>
    <w:p w14:paraId="6EF3832C">
      <w:pPr>
        <w:tabs>
          <w:tab w:val="left" w:pos="480"/>
        </w:tabs>
        <w:spacing w:line="360" w:lineRule="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（一）双方按《中华人民共和国民法典》中的相关条款执行。</w:t>
      </w:r>
    </w:p>
    <w:p w14:paraId="7D63CD47">
      <w:pPr>
        <w:spacing w:line="360" w:lineRule="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二）因乙方原因未能完成管理目标，甲方有权要求乙方限期整改，如在10日内未能达标，甲方书面通知乙方终止合同，合同自书面解除通知书送达乙方之日起解除，因此给甲方造成的损失，乙方应全额赔偿。并按照合同总金额的3%追究乙方违约责任。</w:t>
      </w:r>
    </w:p>
    <w:p w14:paraId="1ABEEDF2">
      <w:pPr>
        <w:shd w:val="clear" w:fill="FFFFFF"/>
        <w:spacing w:line="360" w:lineRule="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三）因乙方原因对甲方房屋建筑、设施设备造成损坏，乙方承担全部赔偿责任并进行善后处理；乙方对甲方设施不得擅自占用和改变使用功能，否则甲方有权要求其恢复原状并赔偿相应损失。乙方应在接到甲方通知后5日恢复原状并赔偿甲方损失。如乙方拒绝或怠于恢复原状的，甲方有权指定第三方予以恢复原状，所有费用均由乙方承担。</w:t>
      </w:r>
    </w:p>
    <w:p w14:paraId="60C4B415">
      <w:pPr>
        <w:shd w:val="clear" w:fill="FFFFFF"/>
        <w:spacing w:line="360" w:lineRule="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（四）甲乙双方发生争议，乙方应在继续保证甲方设备正常运转的基础上，协商解决，在发生争议期间乙方不按合同要求提供服务，造成的损失由乙方全额赔偿。</w:t>
      </w:r>
    </w:p>
    <w:p w14:paraId="393CCB85">
      <w:pPr>
        <w:shd w:val="clear" w:fill="FFFFFF"/>
        <w:spacing w:line="360" w:lineRule="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（五）乙方原因造成的合同终止,在甲方按程序取得第三方服务之前，乙方继续按合同标准提供服务，否则造成一切损失由乙方承担。</w:t>
      </w:r>
    </w:p>
    <w:p w14:paraId="083B7D12">
      <w:pPr>
        <w:shd w:val="clear" w:fill="FFFFFF"/>
        <w:spacing w:line="360" w:lineRule="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六）乙方在履行合同过程中遇相关检查，有转包合同的行为，甲方有权终止合同，合同自书面解除通知送达乙方之日起解除。甲方扣除全部质保金作为违约赔偿。在甲方按程序取得第三方服务之前，乙方继续按合同标准提供服务，否则造成一切损失由乙方承担。</w:t>
      </w:r>
    </w:p>
    <w:p w14:paraId="2647C238">
      <w:pPr>
        <w:shd w:val="clear" w:fill="FFFFFF"/>
        <w:spacing w:line="360" w:lineRule="auto"/>
        <w:rPr>
          <w:rFonts w:hint="eastAsia" w:ascii="Calibri" w:hAnsi="Calibri" w:eastAsia="宋体" w:cs="Times New Roman"/>
          <w:color w:val="auto"/>
          <w:highlight w:val="none"/>
          <w:lang w:val="en-US" w:eastAsia="zh-CN"/>
        </w:rPr>
      </w:pPr>
      <w:r>
        <w:rPr>
          <w:rFonts w:hint="eastAsia" w:ascii="仿宋" w:hAnsi="仿宋" w:eastAsia="仿宋" w:cs="仿宋"/>
          <w:color w:val="auto"/>
          <w:kern w:val="0"/>
          <w:sz w:val="24"/>
          <w:szCs w:val="24"/>
          <w:highlight w:val="none"/>
          <w:lang w:val="en-US" w:eastAsia="zh-CN"/>
        </w:rPr>
        <w:t>（七）合同期内服务公司及服务人员均为乙方直接所属，乙方不得采用挂靠或外包方式再次委托其他单位承担此项目。如甲方发现有违约情形，可直接终止合同执行，违约责任由乙方全部承担。</w:t>
      </w:r>
    </w:p>
    <w:p w14:paraId="47CFAC02">
      <w:pPr>
        <w:tabs>
          <w:tab w:val="left" w:pos="480"/>
        </w:tabs>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 xml:space="preserve"> 合同争议解决的方式</w:t>
      </w:r>
    </w:p>
    <w:p w14:paraId="7D728F90">
      <w:pPr>
        <w:tabs>
          <w:tab w:val="left" w:pos="480"/>
        </w:tabs>
        <w:spacing w:line="360" w:lineRule="auto"/>
        <w:ind w:firstLine="480" w:firstLineChars="200"/>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本合同在履行过程中发生的争议，由甲、乙双方当事人协商解决，协商不成任一方有权向甲方所在地人民法院提起诉讼。</w:t>
      </w:r>
    </w:p>
    <w:p w14:paraId="09355CBB">
      <w:pPr>
        <w:tabs>
          <w:tab w:val="left" w:pos="480"/>
        </w:tabs>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 xml:space="preserve"> 合同生效</w:t>
      </w:r>
    </w:p>
    <w:p w14:paraId="5031CCFF">
      <w:pPr>
        <w:tabs>
          <w:tab w:val="left" w:pos="480"/>
        </w:tabs>
        <w:spacing w:line="360" w:lineRule="auto"/>
        <w:ind w:firstLine="480" w:firstLineChars="200"/>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本合同甲、乙双方法定代表人签字或加盖公章后生效。（含附件1）一式肆份，甲方执叁份，乙方执壹份，合同执行完毕后，自动终止（合同的服务承诺则长期有效）。</w:t>
      </w:r>
    </w:p>
    <w:p w14:paraId="0826B05D">
      <w:pPr>
        <w:tabs>
          <w:tab w:val="left" w:pos="480"/>
        </w:tabs>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 xml:space="preserve"> 其他事项</w:t>
      </w:r>
    </w:p>
    <w:p w14:paraId="76ECBC1B">
      <w:pPr>
        <w:tabs>
          <w:tab w:val="left" w:pos="480"/>
        </w:tabs>
        <w:spacing w:line="360" w:lineRule="auto"/>
        <w:ind w:firstLine="480" w:firstLineChars="200"/>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（一）招标文件、投标文件、合同附件均为合同不可分割的部分。</w:t>
      </w:r>
    </w:p>
    <w:p w14:paraId="4BB3D43B">
      <w:pPr>
        <w:tabs>
          <w:tab w:val="left" w:pos="480"/>
        </w:tabs>
        <w:spacing w:line="360" w:lineRule="auto"/>
        <w:ind w:firstLine="480" w:firstLineChars="200"/>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（二）合同未尽事宜，由甲、乙双方协商，作为合同补充，与原合同具有同等法律效力。补充合同与本合同约定不一致的，以补充合同为准。</w:t>
      </w:r>
    </w:p>
    <w:p w14:paraId="5EA5C028">
      <w:pPr>
        <w:tabs>
          <w:tab w:val="left" w:pos="480"/>
        </w:tabs>
        <w:spacing w:line="360" w:lineRule="auto"/>
        <w:ind w:firstLine="480" w:firstLineChars="200"/>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（三）合同一经签订，不得擅自变更、中止或终止合同。对确需变更、调整或中止、终止合同的，应按规定履行相应的手续。</w:t>
      </w:r>
    </w:p>
    <w:p w14:paraId="6A53582B">
      <w:pPr>
        <w:tabs>
          <w:tab w:val="left" w:pos="480"/>
        </w:tabs>
        <w:spacing w:line="360" w:lineRule="auto"/>
        <w:ind w:firstLine="480" w:firstLineChars="200"/>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（四）本合同按照中华人民共和国的现行法律进行解释。</w:t>
      </w:r>
    </w:p>
    <w:p w14:paraId="3A7C818B">
      <w:pP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br w:type="page"/>
      </w:r>
    </w:p>
    <w:tbl>
      <w:tblPr>
        <w:tblStyle w:val="2"/>
        <w:tblW w:w="97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60"/>
        <w:gridCol w:w="4665"/>
      </w:tblGrid>
      <w:tr w14:paraId="6C560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5060" w:type="dxa"/>
            <w:noWrap w:val="0"/>
            <w:vAlign w:val="center"/>
          </w:tcPr>
          <w:p w14:paraId="572A68A3">
            <w:pPr>
              <w:autoSpaceDE w:val="0"/>
              <w:autoSpaceDN w:val="0"/>
              <w:adjustRightInd w:val="0"/>
              <w:jc w:val="both"/>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甲  方</w:t>
            </w:r>
          </w:p>
        </w:tc>
        <w:tc>
          <w:tcPr>
            <w:tcW w:w="4665" w:type="dxa"/>
            <w:noWrap w:val="0"/>
            <w:vAlign w:val="center"/>
          </w:tcPr>
          <w:p w14:paraId="7F127D15">
            <w:pPr>
              <w:autoSpaceDE w:val="0"/>
              <w:autoSpaceDN w:val="0"/>
              <w:adjustRightInd w:val="0"/>
              <w:jc w:val="both"/>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乙  方</w:t>
            </w:r>
          </w:p>
        </w:tc>
      </w:tr>
      <w:tr w14:paraId="424E1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5060" w:type="dxa"/>
            <w:noWrap w:val="0"/>
            <w:vAlign w:val="center"/>
          </w:tcPr>
          <w:p w14:paraId="3803FF8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西北妇女儿童医院</w:t>
            </w:r>
            <w:r>
              <w:rPr>
                <w:rFonts w:hint="eastAsia" w:ascii="仿宋" w:hAnsi="仿宋" w:eastAsia="仿宋" w:cs="仿宋"/>
                <w:color w:val="auto"/>
                <w:sz w:val="24"/>
                <w:szCs w:val="24"/>
                <w:highlight w:val="none"/>
              </w:rPr>
              <w:t>（盖章）</w:t>
            </w:r>
          </w:p>
        </w:tc>
        <w:tc>
          <w:tcPr>
            <w:tcW w:w="4665" w:type="dxa"/>
            <w:noWrap w:val="0"/>
            <w:vAlign w:val="center"/>
          </w:tcPr>
          <w:p w14:paraId="1A0024F6">
            <w:pPr>
              <w:autoSpaceDE w:val="0"/>
              <w:autoSpaceDN w:val="0"/>
              <w:adjustRightInd w:val="0"/>
              <w:jc w:val="left"/>
              <w:rPr>
                <w:rFonts w:hint="eastAsia" w:ascii="仿宋" w:hAnsi="仿宋" w:eastAsia="仿宋" w:cs="仿宋"/>
                <w:color w:val="auto"/>
                <w:sz w:val="24"/>
                <w:szCs w:val="24"/>
                <w:highlight w:val="none"/>
              </w:rPr>
            </w:pPr>
            <w:r>
              <w:rPr>
                <w:rFonts w:hint="eastAsia" w:ascii="仿宋" w:hAnsi="仿宋" w:eastAsia="仿宋" w:cs="仿宋"/>
                <w:b w:val="0"/>
                <w:color w:val="auto"/>
                <w:spacing w:val="0"/>
                <w:w w:val="100"/>
                <w:sz w:val="24"/>
                <w:szCs w:val="24"/>
                <w:highlight w:val="none"/>
                <w:lang w:val="en-US" w:eastAsia="zh-CN"/>
              </w:rPr>
              <w:t xml:space="preserve"> </w:t>
            </w:r>
            <w:r>
              <w:rPr>
                <w:rFonts w:hint="eastAsia" w:ascii="仿宋" w:hAnsi="仿宋" w:eastAsia="仿宋" w:cs="仿宋"/>
                <w:color w:val="auto"/>
                <w:sz w:val="24"/>
                <w:szCs w:val="24"/>
                <w:highlight w:val="none"/>
              </w:rPr>
              <w:t>（盖章）</w:t>
            </w:r>
          </w:p>
        </w:tc>
      </w:tr>
      <w:tr w14:paraId="4CAEC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5060" w:type="dxa"/>
            <w:noWrap w:val="0"/>
            <w:vAlign w:val="center"/>
          </w:tcPr>
          <w:p w14:paraId="4EBE0A60">
            <w:pPr>
              <w:autoSpaceDE w:val="0"/>
              <w:autoSpaceDN w:val="0"/>
              <w:adjustRightInd w:val="0"/>
              <w:jc w:val="left"/>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地址：</w:t>
            </w:r>
            <w:r>
              <w:rPr>
                <w:rFonts w:hint="eastAsia" w:ascii="仿宋" w:hAnsi="仿宋" w:eastAsia="仿宋" w:cs="仿宋"/>
                <w:color w:val="auto"/>
                <w:sz w:val="24"/>
                <w:szCs w:val="24"/>
                <w:highlight w:val="none"/>
                <w:lang w:val="zh-CN"/>
              </w:rPr>
              <w:t>西安市雁翔路1616号</w:t>
            </w:r>
          </w:p>
        </w:tc>
        <w:tc>
          <w:tcPr>
            <w:tcW w:w="4665" w:type="dxa"/>
            <w:noWrap w:val="0"/>
            <w:vAlign w:val="center"/>
          </w:tcPr>
          <w:p w14:paraId="61029285">
            <w:pPr>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hint="eastAsia" w:ascii="仿宋" w:hAnsi="仿宋" w:eastAsia="仿宋" w:cs="仿宋"/>
                <w:b w:val="0"/>
                <w:bCs/>
                <w:color w:val="auto"/>
                <w:spacing w:val="0"/>
                <w:w w:val="100"/>
                <w:kern w:val="0"/>
                <w:sz w:val="24"/>
                <w:szCs w:val="24"/>
                <w:highlight w:val="none"/>
                <w:lang w:val="en-US" w:eastAsia="zh-CN" w:bidi="ar-SA"/>
              </w:rPr>
            </w:pPr>
            <w:r>
              <w:rPr>
                <w:rFonts w:hint="eastAsia" w:ascii="仿宋" w:hAnsi="仿宋" w:eastAsia="仿宋" w:cs="仿宋"/>
                <w:color w:val="auto"/>
                <w:spacing w:val="-20"/>
                <w:sz w:val="24"/>
                <w:szCs w:val="24"/>
                <w:highlight w:val="none"/>
              </w:rPr>
              <w:t>地址：</w:t>
            </w:r>
            <w:r>
              <w:rPr>
                <w:rFonts w:hint="eastAsia" w:ascii="仿宋" w:hAnsi="仿宋" w:eastAsia="仿宋" w:cs="仿宋"/>
                <w:b w:val="0"/>
                <w:bCs/>
                <w:color w:val="auto"/>
                <w:spacing w:val="0"/>
                <w:w w:val="100"/>
                <w:kern w:val="0"/>
                <w:sz w:val="24"/>
                <w:szCs w:val="24"/>
                <w:highlight w:val="none"/>
                <w:lang w:val="en-US" w:eastAsia="zh-CN" w:bidi="ar-SA"/>
              </w:rPr>
              <w:t xml:space="preserve"> </w:t>
            </w:r>
          </w:p>
          <w:p w14:paraId="54F649E4">
            <w:pPr>
              <w:autoSpaceDE w:val="0"/>
              <w:autoSpaceDN w:val="0"/>
              <w:adjustRightInd w:val="0"/>
              <w:ind w:left="720" w:hanging="600" w:hangingChars="300"/>
              <w:jc w:val="left"/>
              <w:rPr>
                <w:rFonts w:hint="eastAsia" w:ascii="仿宋" w:hAnsi="仿宋" w:eastAsia="仿宋" w:cs="仿宋"/>
                <w:color w:val="auto"/>
                <w:spacing w:val="-20"/>
                <w:sz w:val="24"/>
                <w:szCs w:val="24"/>
                <w:highlight w:val="none"/>
              </w:rPr>
            </w:pPr>
          </w:p>
        </w:tc>
      </w:tr>
      <w:tr w14:paraId="7DDB5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jc w:val="center"/>
        </w:trPr>
        <w:tc>
          <w:tcPr>
            <w:tcW w:w="5060" w:type="dxa"/>
            <w:noWrap w:val="0"/>
            <w:vAlign w:val="center"/>
          </w:tcPr>
          <w:p w14:paraId="7DDB02C7">
            <w:pPr>
              <w:autoSpaceDE w:val="0"/>
              <w:autoSpaceDN w:val="0"/>
              <w:adjustRightInd w:val="0"/>
              <w:jc w:val="left"/>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法定代表人：</w:t>
            </w:r>
          </w:p>
        </w:tc>
        <w:tc>
          <w:tcPr>
            <w:tcW w:w="4665" w:type="dxa"/>
            <w:noWrap w:val="0"/>
            <w:vAlign w:val="center"/>
          </w:tcPr>
          <w:p w14:paraId="7EDB0331">
            <w:pPr>
              <w:autoSpaceDE w:val="0"/>
              <w:autoSpaceDN w:val="0"/>
              <w:adjustRightInd w:val="0"/>
              <w:jc w:val="left"/>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法定代表人：</w:t>
            </w:r>
          </w:p>
        </w:tc>
      </w:tr>
      <w:tr w14:paraId="64E03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jc w:val="center"/>
        </w:trPr>
        <w:tc>
          <w:tcPr>
            <w:tcW w:w="5060" w:type="dxa"/>
            <w:noWrap w:val="0"/>
            <w:vAlign w:val="center"/>
          </w:tcPr>
          <w:p w14:paraId="455C0C72">
            <w:pPr>
              <w:autoSpaceDE w:val="0"/>
              <w:autoSpaceDN w:val="0"/>
              <w:adjustRightInd w:val="0"/>
              <w:jc w:val="left"/>
              <w:rPr>
                <w:rFonts w:hint="eastAsia" w:ascii="仿宋" w:hAnsi="仿宋" w:eastAsia="仿宋" w:cs="仿宋"/>
                <w:color w:val="auto"/>
                <w:spacing w:val="-20"/>
                <w:sz w:val="24"/>
                <w:szCs w:val="24"/>
                <w:highlight w:val="none"/>
                <w:lang w:val="en-US" w:eastAsia="zh-CN"/>
              </w:rPr>
            </w:pPr>
            <w:r>
              <w:rPr>
                <w:rFonts w:hint="eastAsia" w:ascii="仿宋" w:hAnsi="仿宋" w:eastAsia="仿宋" w:cs="仿宋"/>
                <w:color w:val="auto"/>
                <w:spacing w:val="-20"/>
                <w:sz w:val="24"/>
                <w:szCs w:val="24"/>
                <w:highlight w:val="none"/>
                <w:lang w:val="en-US" w:eastAsia="zh-CN"/>
              </w:rPr>
              <w:t>联系人：</w:t>
            </w:r>
          </w:p>
        </w:tc>
        <w:tc>
          <w:tcPr>
            <w:tcW w:w="4665" w:type="dxa"/>
            <w:noWrap w:val="0"/>
            <w:vAlign w:val="center"/>
          </w:tcPr>
          <w:p w14:paraId="12C84AF0">
            <w:pPr>
              <w:autoSpaceDE w:val="0"/>
              <w:autoSpaceDN w:val="0"/>
              <w:adjustRightInd w:val="0"/>
              <w:jc w:val="left"/>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lang w:val="en-US" w:eastAsia="zh-CN"/>
              </w:rPr>
              <w:t>联系人：</w:t>
            </w:r>
          </w:p>
        </w:tc>
      </w:tr>
      <w:tr w14:paraId="3B658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jc w:val="center"/>
        </w:trPr>
        <w:tc>
          <w:tcPr>
            <w:tcW w:w="5060" w:type="dxa"/>
            <w:noWrap w:val="0"/>
            <w:vAlign w:val="center"/>
          </w:tcPr>
          <w:p w14:paraId="6D9BCB5E">
            <w:pPr>
              <w:autoSpaceDE w:val="0"/>
              <w:autoSpaceDN w:val="0"/>
              <w:adjustRightInd w:val="0"/>
              <w:jc w:val="left"/>
              <w:rPr>
                <w:rFonts w:hint="eastAsia" w:ascii="仿宋" w:hAnsi="仿宋" w:eastAsia="仿宋" w:cs="仿宋"/>
                <w:color w:val="auto"/>
                <w:spacing w:val="-20"/>
                <w:sz w:val="24"/>
                <w:szCs w:val="24"/>
                <w:highlight w:val="none"/>
                <w:lang w:val="en-US" w:eastAsia="zh-CN"/>
              </w:rPr>
            </w:pPr>
            <w:r>
              <w:rPr>
                <w:rFonts w:hint="eastAsia" w:ascii="仿宋" w:hAnsi="仿宋" w:eastAsia="仿宋" w:cs="仿宋"/>
                <w:color w:val="auto"/>
                <w:spacing w:val="-20"/>
                <w:sz w:val="24"/>
                <w:szCs w:val="24"/>
                <w:highlight w:val="none"/>
              </w:rPr>
              <w:t>电话：</w:t>
            </w:r>
            <w:r>
              <w:rPr>
                <w:rFonts w:hint="eastAsia" w:ascii="仿宋" w:hAnsi="仿宋" w:eastAsia="仿宋" w:cs="仿宋"/>
                <w:color w:val="auto"/>
                <w:sz w:val="24"/>
                <w:szCs w:val="24"/>
                <w:highlight w:val="none"/>
                <w:lang w:val="zh-CN"/>
              </w:rPr>
              <w:t>029-89550</w:t>
            </w:r>
            <w:r>
              <w:rPr>
                <w:rFonts w:hint="eastAsia" w:ascii="仿宋" w:hAnsi="仿宋" w:eastAsia="仿宋" w:cs="仿宋"/>
                <w:color w:val="auto"/>
                <w:sz w:val="24"/>
                <w:szCs w:val="24"/>
                <w:highlight w:val="none"/>
                <w:lang w:val="en-US" w:eastAsia="zh-CN"/>
              </w:rPr>
              <w:t>195</w:t>
            </w:r>
          </w:p>
        </w:tc>
        <w:tc>
          <w:tcPr>
            <w:tcW w:w="4665" w:type="dxa"/>
            <w:noWrap w:val="0"/>
            <w:vAlign w:val="center"/>
          </w:tcPr>
          <w:p w14:paraId="5681D64F">
            <w:pPr>
              <w:autoSpaceDE w:val="0"/>
              <w:autoSpaceDN w:val="0"/>
              <w:adjustRightInd w:val="0"/>
              <w:jc w:val="left"/>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电话：</w:t>
            </w:r>
            <w:r>
              <w:rPr>
                <w:rFonts w:hint="eastAsia" w:ascii="仿宋" w:hAnsi="仿宋" w:eastAsia="仿宋" w:cs="仿宋"/>
                <w:b w:val="0"/>
                <w:color w:val="auto"/>
                <w:spacing w:val="0"/>
                <w:w w:val="100"/>
                <w:kern w:val="0"/>
                <w:sz w:val="24"/>
                <w:szCs w:val="24"/>
                <w:highlight w:val="none"/>
                <w:lang w:val="en-US" w:eastAsia="zh-CN"/>
              </w:rPr>
              <w:t xml:space="preserve"> </w:t>
            </w:r>
          </w:p>
        </w:tc>
      </w:tr>
      <w:tr w14:paraId="33336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jc w:val="center"/>
        </w:trPr>
        <w:tc>
          <w:tcPr>
            <w:tcW w:w="5060" w:type="dxa"/>
            <w:noWrap w:val="0"/>
            <w:vAlign w:val="center"/>
          </w:tcPr>
          <w:p w14:paraId="37E985F2">
            <w:pPr>
              <w:autoSpaceDE w:val="0"/>
              <w:autoSpaceDN w:val="0"/>
              <w:adjustRightInd w:val="0"/>
              <w:jc w:val="left"/>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开户银行：</w:t>
            </w:r>
            <w:r>
              <w:rPr>
                <w:rFonts w:hint="eastAsia" w:ascii="仿宋" w:hAnsi="仿宋" w:eastAsia="仿宋" w:cs="仿宋"/>
                <w:color w:val="auto"/>
                <w:sz w:val="24"/>
                <w:szCs w:val="22"/>
                <w:highlight w:val="none"/>
                <w:lang w:val="zh-CN" w:eastAsia="zh-CN"/>
              </w:rPr>
              <w:t>中国银行北大街支行</w:t>
            </w:r>
            <w:r>
              <w:rPr>
                <w:rFonts w:hint="eastAsia" w:ascii="仿宋" w:hAnsi="仿宋" w:eastAsia="仿宋" w:cs="仿宋"/>
                <w:color w:val="auto"/>
                <w:spacing w:val="-20"/>
                <w:sz w:val="24"/>
                <w:szCs w:val="24"/>
                <w:highlight w:val="none"/>
              </w:rPr>
              <w:t xml:space="preserve"> </w:t>
            </w:r>
          </w:p>
        </w:tc>
        <w:tc>
          <w:tcPr>
            <w:tcW w:w="4665" w:type="dxa"/>
            <w:noWrap w:val="0"/>
            <w:vAlign w:val="center"/>
          </w:tcPr>
          <w:p w14:paraId="0AC4D892">
            <w:pPr>
              <w:autoSpaceDE w:val="0"/>
              <w:autoSpaceDN w:val="0"/>
              <w:adjustRightInd w:val="0"/>
              <w:jc w:val="left"/>
              <w:rPr>
                <w:rFonts w:hint="eastAsia" w:ascii="仿宋" w:hAnsi="仿宋" w:eastAsia="仿宋" w:cs="仿宋"/>
                <w:color w:val="auto"/>
                <w:spacing w:val="-20"/>
                <w:sz w:val="24"/>
                <w:szCs w:val="24"/>
                <w:highlight w:val="none"/>
                <w:lang w:eastAsia="zh-CN"/>
              </w:rPr>
            </w:pPr>
            <w:r>
              <w:rPr>
                <w:rFonts w:hint="eastAsia" w:ascii="仿宋" w:hAnsi="仿宋" w:eastAsia="仿宋" w:cs="仿宋"/>
                <w:color w:val="auto"/>
                <w:spacing w:val="-20"/>
                <w:sz w:val="24"/>
                <w:szCs w:val="24"/>
                <w:highlight w:val="none"/>
              </w:rPr>
              <w:t>开户银行：</w:t>
            </w:r>
            <w:r>
              <w:rPr>
                <w:rFonts w:hint="eastAsia" w:ascii="仿宋" w:hAnsi="仿宋" w:eastAsia="仿宋" w:cs="仿宋"/>
                <w:color w:val="auto"/>
                <w:spacing w:val="-20"/>
                <w:sz w:val="24"/>
                <w:szCs w:val="24"/>
                <w:highlight w:val="none"/>
                <w:lang w:val="en-US" w:eastAsia="zh-CN"/>
              </w:rPr>
              <w:t xml:space="preserve"> </w:t>
            </w:r>
          </w:p>
        </w:tc>
      </w:tr>
      <w:tr w14:paraId="07B08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jc w:val="center"/>
        </w:trPr>
        <w:tc>
          <w:tcPr>
            <w:tcW w:w="5060" w:type="dxa"/>
            <w:noWrap w:val="0"/>
            <w:vAlign w:val="center"/>
          </w:tcPr>
          <w:p w14:paraId="44D39829">
            <w:pPr>
              <w:autoSpaceDE w:val="0"/>
              <w:autoSpaceDN w:val="0"/>
              <w:adjustRightInd w:val="0"/>
              <w:jc w:val="left"/>
              <w:rPr>
                <w:rFonts w:hint="eastAsia" w:ascii="仿宋" w:hAnsi="仿宋" w:eastAsia="仿宋" w:cs="仿宋"/>
                <w:color w:val="auto"/>
                <w:spacing w:val="-20"/>
                <w:sz w:val="24"/>
                <w:szCs w:val="24"/>
                <w:highlight w:val="none"/>
              </w:rPr>
            </w:pP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2"/>
                <w:highlight w:val="none"/>
                <w:lang w:val="en-US" w:eastAsia="zh-CN"/>
              </w:rPr>
              <w:t>103208712015</w:t>
            </w:r>
            <w:r>
              <w:rPr>
                <w:rFonts w:hint="eastAsia" w:ascii="仿宋" w:hAnsi="仿宋" w:eastAsia="仿宋" w:cs="仿宋"/>
                <w:color w:val="auto"/>
                <w:sz w:val="24"/>
                <w:szCs w:val="22"/>
                <w:highlight w:val="none"/>
                <w:lang w:eastAsia="zh-CN"/>
              </w:rPr>
              <w:t xml:space="preserve"> </w:t>
            </w:r>
          </w:p>
        </w:tc>
        <w:tc>
          <w:tcPr>
            <w:tcW w:w="4665" w:type="dxa"/>
            <w:noWrap w:val="0"/>
            <w:vAlign w:val="center"/>
          </w:tcPr>
          <w:p w14:paraId="59E3F082">
            <w:pPr>
              <w:autoSpaceDE w:val="0"/>
              <w:autoSpaceDN w:val="0"/>
              <w:adjustRightInd w:val="0"/>
              <w:jc w:val="left"/>
              <w:rPr>
                <w:rFonts w:hint="eastAsia" w:ascii="仿宋" w:hAnsi="仿宋" w:eastAsia="仿宋" w:cs="仿宋"/>
                <w:color w:val="auto"/>
                <w:spacing w:val="-20"/>
                <w:sz w:val="24"/>
                <w:szCs w:val="24"/>
                <w:highlight w:val="none"/>
                <w:lang w:val="en-US" w:eastAsia="zh-CN"/>
              </w:rPr>
            </w:pP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lang w:val="en-US" w:eastAsia="zh-CN"/>
              </w:rPr>
              <w:t xml:space="preserve"> </w:t>
            </w:r>
          </w:p>
        </w:tc>
      </w:tr>
      <w:tr w14:paraId="6AABF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jc w:val="center"/>
        </w:trPr>
        <w:tc>
          <w:tcPr>
            <w:tcW w:w="5060" w:type="dxa"/>
            <w:noWrap w:val="0"/>
            <w:vAlign w:val="center"/>
          </w:tcPr>
          <w:p w14:paraId="6CF80A58">
            <w:pPr>
              <w:autoSpaceDE w:val="0"/>
              <w:autoSpaceDN w:val="0"/>
              <w:adjustRightInd w:val="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纳锐人识别号：126100000881820988 </w:t>
            </w:r>
          </w:p>
        </w:tc>
        <w:tc>
          <w:tcPr>
            <w:tcW w:w="4665" w:type="dxa"/>
            <w:noWrap w:val="0"/>
            <w:vAlign w:val="center"/>
          </w:tcPr>
          <w:p w14:paraId="1FB647B5">
            <w:pPr>
              <w:autoSpaceDE w:val="0"/>
              <w:autoSpaceDN w:val="0"/>
              <w:adjustRightInd w:val="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纳税人识别号：</w:t>
            </w:r>
          </w:p>
        </w:tc>
      </w:tr>
      <w:tr w14:paraId="17CD1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jc w:val="center"/>
        </w:trPr>
        <w:tc>
          <w:tcPr>
            <w:tcW w:w="9725" w:type="dxa"/>
            <w:gridSpan w:val="2"/>
            <w:noWrap w:val="0"/>
            <w:vAlign w:val="center"/>
          </w:tcPr>
          <w:p w14:paraId="2BFF700D">
            <w:pPr>
              <w:autoSpaceDE w:val="0"/>
              <w:autoSpaceDN w:val="0"/>
              <w:adjustRightInd w:val="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20"/>
                <w:sz w:val="24"/>
                <w:szCs w:val="24"/>
                <w:highlight w:val="none"/>
              </w:rPr>
              <w:t xml:space="preserve">日期：  </w:t>
            </w:r>
            <w:r>
              <w:rPr>
                <w:rFonts w:hint="eastAsia" w:ascii="仿宋" w:hAnsi="仿宋" w:eastAsia="仿宋" w:cs="仿宋"/>
                <w:color w:val="auto"/>
                <w:spacing w:val="-20"/>
                <w:sz w:val="24"/>
                <w:szCs w:val="24"/>
                <w:highlight w:val="none"/>
                <w:lang w:val="en-US" w:eastAsia="zh-CN"/>
              </w:rPr>
              <w:t xml:space="preserve">   </w:t>
            </w:r>
            <w:r>
              <w:rPr>
                <w:rFonts w:hint="eastAsia" w:ascii="仿宋" w:hAnsi="仿宋" w:eastAsia="仿宋" w:cs="仿宋"/>
                <w:color w:val="auto"/>
                <w:spacing w:val="-20"/>
                <w:sz w:val="24"/>
                <w:szCs w:val="24"/>
                <w:highlight w:val="none"/>
              </w:rPr>
              <w:t xml:space="preserve"> 年 </w:t>
            </w:r>
            <w:r>
              <w:rPr>
                <w:rFonts w:hint="eastAsia" w:ascii="仿宋" w:hAnsi="仿宋" w:eastAsia="仿宋" w:cs="仿宋"/>
                <w:color w:val="auto"/>
                <w:spacing w:val="-20"/>
                <w:sz w:val="24"/>
                <w:szCs w:val="24"/>
                <w:highlight w:val="none"/>
                <w:lang w:val="en-US" w:eastAsia="zh-CN"/>
              </w:rPr>
              <w:t xml:space="preserve"> </w:t>
            </w:r>
            <w:r>
              <w:rPr>
                <w:rFonts w:hint="eastAsia" w:ascii="仿宋" w:hAnsi="仿宋" w:eastAsia="仿宋" w:cs="仿宋"/>
                <w:color w:val="auto"/>
                <w:spacing w:val="-20"/>
                <w:sz w:val="24"/>
                <w:szCs w:val="24"/>
                <w:highlight w:val="none"/>
              </w:rPr>
              <w:t xml:space="preserve">  月  </w:t>
            </w:r>
            <w:r>
              <w:rPr>
                <w:rFonts w:hint="eastAsia" w:ascii="仿宋" w:hAnsi="仿宋" w:eastAsia="仿宋" w:cs="仿宋"/>
                <w:color w:val="auto"/>
                <w:spacing w:val="-20"/>
                <w:sz w:val="24"/>
                <w:szCs w:val="24"/>
                <w:highlight w:val="none"/>
                <w:lang w:val="en-US" w:eastAsia="zh-CN"/>
              </w:rPr>
              <w:t xml:space="preserve"> </w:t>
            </w:r>
            <w:r>
              <w:rPr>
                <w:rFonts w:hint="eastAsia" w:ascii="仿宋" w:hAnsi="仿宋" w:eastAsia="仿宋" w:cs="仿宋"/>
                <w:color w:val="auto"/>
                <w:spacing w:val="-20"/>
                <w:sz w:val="24"/>
                <w:szCs w:val="24"/>
                <w:highlight w:val="none"/>
              </w:rPr>
              <w:t xml:space="preserve"> 日</w:t>
            </w:r>
          </w:p>
        </w:tc>
      </w:tr>
      <w:tr w14:paraId="41BAD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665" w:type="dxa"/>
          <w:trHeight w:val="756" w:hRule="atLeast"/>
          <w:jc w:val="center"/>
        </w:trPr>
        <w:tc>
          <w:tcPr>
            <w:tcW w:w="5060" w:type="dxa"/>
            <w:noWrap w:val="0"/>
            <w:vAlign w:val="center"/>
          </w:tcPr>
          <w:p w14:paraId="0A0F735F">
            <w:pPr>
              <w:autoSpaceDE w:val="0"/>
              <w:autoSpaceDN w:val="0"/>
              <w:adjustRightInd w:val="0"/>
              <w:jc w:val="center"/>
              <w:rPr>
                <w:rFonts w:hint="eastAsia" w:ascii="仿宋" w:hAnsi="仿宋" w:eastAsia="仿宋" w:cs="仿宋"/>
                <w:color w:val="auto"/>
                <w:spacing w:val="-20"/>
                <w:sz w:val="24"/>
                <w:szCs w:val="24"/>
                <w:highlight w:val="none"/>
              </w:rPr>
            </w:pPr>
          </w:p>
        </w:tc>
      </w:tr>
    </w:tbl>
    <w:p w14:paraId="0D350293">
      <w:pPr>
        <w:spacing w:line="360" w:lineRule="auto"/>
        <w:rPr>
          <w:rFonts w:hint="eastAsia" w:ascii="仿宋" w:hAnsi="仿宋" w:eastAsia="仿宋" w:cs="仿宋"/>
          <w:color w:val="auto"/>
          <w:sz w:val="24"/>
          <w:szCs w:val="24"/>
          <w:highlight w:val="none"/>
        </w:rPr>
      </w:pPr>
    </w:p>
    <w:p w14:paraId="439A07DC">
      <w:pPr>
        <w:spacing w:line="360" w:lineRule="auto"/>
        <w:rPr>
          <w:rFonts w:hint="eastAsia" w:ascii="仿宋" w:hAnsi="仿宋" w:eastAsia="仿宋" w:cs="仿宋"/>
          <w:color w:val="auto"/>
          <w:sz w:val="24"/>
          <w:szCs w:val="24"/>
          <w:highlight w:val="none"/>
        </w:rPr>
      </w:pPr>
    </w:p>
    <w:p w14:paraId="2966DC27">
      <w:pPr>
        <w:spacing w:line="360" w:lineRule="auto"/>
        <w:rPr>
          <w:rFonts w:hint="eastAsia" w:ascii="仿宋" w:hAnsi="仿宋" w:eastAsia="仿宋" w:cs="仿宋"/>
          <w:color w:val="auto"/>
          <w:sz w:val="24"/>
          <w:szCs w:val="24"/>
          <w:highlight w:val="none"/>
        </w:rPr>
      </w:pPr>
    </w:p>
    <w:p w14:paraId="06BD750A">
      <w:pPr>
        <w:spacing w:line="360" w:lineRule="auto"/>
        <w:rPr>
          <w:rFonts w:hint="eastAsia" w:ascii="仿宋" w:hAnsi="仿宋" w:eastAsia="仿宋" w:cs="仿宋"/>
          <w:color w:val="auto"/>
          <w:sz w:val="24"/>
          <w:szCs w:val="24"/>
          <w:highlight w:val="none"/>
        </w:rPr>
      </w:pPr>
    </w:p>
    <w:p w14:paraId="3DDB3801">
      <w:pPr>
        <w:spacing w:line="360" w:lineRule="auto"/>
        <w:rPr>
          <w:rFonts w:hint="eastAsia" w:ascii="仿宋" w:hAnsi="仿宋" w:eastAsia="仿宋" w:cs="仿宋"/>
          <w:color w:val="auto"/>
          <w:sz w:val="24"/>
          <w:szCs w:val="24"/>
          <w:highlight w:val="none"/>
        </w:rPr>
      </w:pPr>
    </w:p>
    <w:p w14:paraId="0946F51F">
      <w:pPr>
        <w:spacing w:line="360" w:lineRule="auto"/>
        <w:rPr>
          <w:rFonts w:hint="eastAsia" w:ascii="仿宋" w:hAnsi="仿宋" w:eastAsia="仿宋" w:cs="仿宋"/>
          <w:color w:val="auto"/>
          <w:sz w:val="24"/>
          <w:szCs w:val="24"/>
          <w:highlight w:val="none"/>
        </w:rPr>
      </w:pPr>
    </w:p>
    <w:p w14:paraId="6FCD3FDD">
      <w:pPr>
        <w:spacing w:line="360" w:lineRule="auto"/>
        <w:rPr>
          <w:rFonts w:hint="eastAsia" w:ascii="仿宋" w:hAnsi="仿宋" w:eastAsia="仿宋" w:cs="仿宋"/>
          <w:color w:val="auto"/>
          <w:sz w:val="24"/>
          <w:szCs w:val="24"/>
          <w:highlight w:val="none"/>
        </w:rPr>
      </w:pPr>
    </w:p>
    <w:p w14:paraId="7C704426">
      <w:pPr>
        <w:spacing w:line="360" w:lineRule="auto"/>
        <w:rPr>
          <w:rFonts w:hint="eastAsia" w:ascii="仿宋" w:hAnsi="仿宋" w:eastAsia="仿宋" w:cs="仿宋"/>
          <w:color w:val="auto"/>
          <w:sz w:val="24"/>
          <w:szCs w:val="24"/>
          <w:highlight w:val="none"/>
        </w:rPr>
      </w:pPr>
    </w:p>
    <w:p w14:paraId="1A336FA9">
      <w:pPr>
        <w:spacing w:line="360" w:lineRule="auto"/>
        <w:rPr>
          <w:rFonts w:hint="eastAsia" w:ascii="仿宋" w:hAnsi="仿宋" w:eastAsia="仿宋" w:cs="仿宋"/>
          <w:color w:val="auto"/>
          <w:sz w:val="24"/>
          <w:szCs w:val="24"/>
          <w:highlight w:val="none"/>
        </w:rPr>
      </w:pPr>
    </w:p>
    <w:p w14:paraId="3F666EC6">
      <w:pPr>
        <w:spacing w:line="360" w:lineRule="auto"/>
        <w:rPr>
          <w:rFonts w:hint="eastAsia" w:ascii="仿宋" w:hAnsi="仿宋" w:eastAsia="仿宋" w:cs="仿宋"/>
          <w:color w:val="auto"/>
          <w:sz w:val="24"/>
          <w:szCs w:val="24"/>
          <w:highlight w:val="none"/>
        </w:rPr>
      </w:pPr>
    </w:p>
    <w:p w14:paraId="4556FBBB">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2FE750F">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w:t>
      </w:r>
    </w:p>
    <w:p w14:paraId="067CF287">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西北妇女儿童医院</w:t>
      </w:r>
      <w:r>
        <w:rPr>
          <w:rFonts w:hint="eastAsia" w:ascii="仿宋" w:hAnsi="仿宋" w:eastAsia="仿宋" w:cs="仿宋"/>
          <w:b/>
          <w:color w:val="auto"/>
          <w:sz w:val="24"/>
          <w:szCs w:val="24"/>
          <w:highlight w:val="none"/>
          <w:lang w:val="en-US" w:eastAsia="zh-CN"/>
        </w:rPr>
        <w:t>两院区两院区锅炉外包服务</w:t>
      </w:r>
      <w:r>
        <w:rPr>
          <w:rFonts w:hint="eastAsia" w:ascii="仿宋" w:hAnsi="仿宋" w:eastAsia="仿宋" w:cs="仿宋"/>
          <w:b/>
          <w:color w:val="auto"/>
          <w:sz w:val="24"/>
          <w:szCs w:val="24"/>
          <w:highlight w:val="none"/>
        </w:rPr>
        <w:t>考核办法</w:t>
      </w:r>
    </w:p>
    <w:p w14:paraId="00B7D95C">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第一章  总则</w:t>
      </w:r>
    </w:p>
    <w:p w14:paraId="56A4915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第一条  为加强医院科学管理，切实提高工作效率，确保各项工作落实到位，促进医院快速、健康、可持续发展，使外包服务单位能够更好地为医院提供优质服务，特制订本办法。</w:t>
      </w:r>
    </w:p>
    <w:p w14:paraId="4548B4BD">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第二条适用范围：</w:t>
      </w:r>
      <w:r>
        <w:rPr>
          <w:rFonts w:hint="eastAsia" w:ascii="仿宋" w:hAnsi="仿宋" w:eastAsia="仿宋" w:cs="仿宋"/>
          <w:color w:val="auto"/>
          <w:sz w:val="24"/>
          <w:szCs w:val="24"/>
          <w:highlight w:val="none"/>
          <w:lang w:val="en-US" w:eastAsia="zh-CN"/>
        </w:rPr>
        <w:t>两院区锅炉外包服务单位。</w:t>
      </w:r>
    </w:p>
    <w:p w14:paraId="0019DD8B">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第三条考核原则</w:t>
      </w:r>
    </w:p>
    <w:p w14:paraId="57A285B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(一)客观考评原则。考核者应以客观事实为考核依据。</w:t>
      </w:r>
    </w:p>
    <w:p w14:paraId="34D37A2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(二)公正考评原则。考核者不能被个人情感支配，应公正评价被考核者。</w:t>
      </w:r>
    </w:p>
    <w:p w14:paraId="53049DC8">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第二章   考核内容及评分标准</w:t>
      </w:r>
    </w:p>
    <w:p w14:paraId="2E82E42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第四条  考核实行月扣分制，每月基础分为100分，月末根据当月职责履行情况、工作效率、</w:t>
      </w:r>
      <w:r>
        <w:rPr>
          <w:rFonts w:hint="eastAsia" w:ascii="仿宋" w:hAnsi="仿宋" w:eastAsia="仿宋" w:cs="仿宋"/>
          <w:color w:val="auto"/>
          <w:sz w:val="24"/>
          <w:szCs w:val="24"/>
          <w:highlight w:val="none"/>
          <w:lang w:val="en-US" w:eastAsia="zh-CN"/>
        </w:rPr>
        <w:t>服务质量</w:t>
      </w:r>
      <w:r>
        <w:rPr>
          <w:rFonts w:hint="eastAsia" w:ascii="仿宋" w:hAnsi="仿宋" w:eastAsia="仿宋" w:cs="仿宋"/>
          <w:color w:val="auto"/>
          <w:sz w:val="24"/>
          <w:szCs w:val="24"/>
          <w:highlight w:val="none"/>
        </w:rPr>
        <w:t>等方面的表现，结合评分标准评定当月得分。</w:t>
      </w:r>
    </w:p>
    <w:p w14:paraId="7BF37064">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第五条：考核标准（</w:t>
      </w:r>
      <w:r>
        <w:rPr>
          <w:rFonts w:hint="eastAsia" w:ascii="仿宋" w:hAnsi="仿宋" w:eastAsia="仿宋" w:cs="仿宋"/>
          <w:color w:val="auto"/>
          <w:sz w:val="24"/>
          <w:szCs w:val="24"/>
          <w:highlight w:val="none"/>
          <w:lang w:val="en-US" w:eastAsia="zh-CN"/>
        </w:rPr>
        <w:t>后附</w:t>
      </w:r>
      <w:r>
        <w:rPr>
          <w:rFonts w:hint="eastAsia" w:ascii="仿宋" w:hAnsi="仿宋" w:eastAsia="仿宋" w:cs="仿宋"/>
          <w:color w:val="auto"/>
          <w:sz w:val="24"/>
          <w:szCs w:val="24"/>
          <w:highlight w:val="none"/>
        </w:rPr>
        <w:t>）</w:t>
      </w:r>
    </w:p>
    <w:p w14:paraId="55F6C705">
      <w:pPr>
        <w:widowControl/>
        <w:shd w:val="clear" w:color="auto" w:fill="FFFFFF"/>
        <w:spacing w:line="360" w:lineRule="auto"/>
        <w:ind w:right="300"/>
        <w:jc w:val="center"/>
        <w:rPr>
          <w:rFonts w:hint="eastAsia" w:ascii="仿宋" w:hAnsi="仿宋" w:eastAsia="仿宋" w:cs="仿宋"/>
          <w:color w:val="auto"/>
          <w:kern w:val="0"/>
          <w:sz w:val="24"/>
          <w:szCs w:val="24"/>
          <w:highlight w:val="none"/>
        </w:rPr>
      </w:pPr>
      <w:r>
        <w:rPr>
          <w:rFonts w:hint="eastAsia" w:ascii="仿宋" w:hAnsi="仿宋" w:eastAsia="仿宋" w:cs="仿宋"/>
          <w:b/>
          <w:bCs/>
          <w:color w:val="auto"/>
          <w:kern w:val="0"/>
          <w:sz w:val="24"/>
          <w:szCs w:val="24"/>
          <w:highlight w:val="none"/>
        </w:rPr>
        <w:t>第三章 考核程序</w:t>
      </w:r>
    </w:p>
    <w:p w14:paraId="230DCEE3">
      <w:pPr>
        <w:widowControl/>
        <w:shd w:val="clear" w:color="auto" w:fill="FFFFFF"/>
        <w:spacing w:line="360" w:lineRule="auto"/>
        <w:ind w:right="3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第六条 考核方法</w:t>
      </w:r>
    </w:p>
    <w:p w14:paraId="6468EB62">
      <w:pPr>
        <w:widowControl/>
        <w:shd w:val="clear" w:color="auto" w:fill="FFFFFF"/>
        <w:spacing w:line="360" w:lineRule="auto"/>
        <w:ind w:right="30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定期与不定期相结合方式。定期：</w:t>
      </w:r>
      <w:r>
        <w:rPr>
          <w:rFonts w:hint="eastAsia" w:ascii="仿宋" w:hAnsi="仿宋" w:eastAsia="仿宋" w:cs="仿宋"/>
          <w:color w:val="auto"/>
          <w:kern w:val="0"/>
          <w:sz w:val="24"/>
          <w:szCs w:val="24"/>
          <w:highlight w:val="none"/>
          <w:lang w:eastAsia="zh-CN"/>
        </w:rPr>
        <w:t>院方相关部门</w:t>
      </w:r>
      <w:r>
        <w:rPr>
          <w:rFonts w:hint="eastAsia" w:ascii="仿宋" w:hAnsi="仿宋" w:eastAsia="仿宋" w:cs="仿宋"/>
          <w:color w:val="auto"/>
          <w:kern w:val="0"/>
          <w:sz w:val="24"/>
          <w:szCs w:val="24"/>
          <w:highlight w:val="none"/>
        </w:rPr>
        <w:t>每月最后一周</w:t>
      </w:r>
      <w:r>
        <w:rPr>
          <w:rFonts w:hint="eastAsia" w:ascii="仿宋" w:hAnsi="仿宋" w:eastAsia="仿宋" w:cs="仿宋"/>
          <w:color w:val="auto"/>
          <w:kern w:val="0"/>
          <w:sz w:val="24"/>
          <w:szCs w:val="24"/>
          <w:highlight w:val="none"/>
          <w:lang w:eastAsia="zh-CN"/>
        </w:rPr>
        <w:t>或不定期</w:t>
      </w:r>
      <w:r>
        <w:rPr>
          <w:rFonts w:hint="eastAsia" w:ascii="仿宋" w:hAnsi="仿宋" w:eastAsia="仿宋" w:cs="仿宋"/>
          <w:color w:val="auto"/>
          <w:kern w:val="0"/>
          <w:sz w:val="24"/>
          <w:szCs w:val="24"/>
          <w:highlight w:val="none"/>
        </w:rPr>
        <w:t>进行；行政后勤管理人员不定期巡查外包公司工作情况，发现问题，立即通知责任人改正，并视情况扣分，记入月底考评。</w:t>
      </w:r>
    </w:p>
    <w:p w14:paraId="1E5AA29D">
      <w:pPr>
        <w:widowControl/>
        <w:shd w:val="clear" w:color="auto" w:fill="FFFFFF"/>
        <w:spacing w:line="360" w:lineRule="auto"/>
        <w:ind w:right="300"/>
        <w:jc w:val="center"/>
        <w:rPr>
          <w:rFonts w:hint="default"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rPr>
        <w:t>第四章 考核</w:t>
      </w:r>
      <w:r>
        <w:rPr>
          <w:rFonts w:hint="eastAsia" w:ascii="仿宋" w:hAnsi="仿宋" w:eastAsia="仿宋" w:cs="仿宋"/>
          <w:b/>
          <w:bCs/>
          <w:color w:val="auto"/>
          <w:kern w:val="0"/>
          <w:sz w:val="24"/>
          <w:szCs w:val="24"/>
          <w:highlight w:val="none"/>
          <w:lang w:val="en-US" w:eastAsia="zh-CN"/>
        </w:rPr>
        <w:t>结果应用</w:t>
      </w:r>
    </w:p>
    <w:p w14:paraId="2E0B6DB0">
      <w:pPr>
        <w:widowControl/>
        <w:shd w:val="clear" w:color="auto" w:fill="FFFFFF"/>
        <w:spacing w:line="360" w:lineRule="auto"/>
        <w:ind w:right="3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第七条  每月根据《考核标准》打分，以百分制计算。最终考核结果的等次划分为：95-100分：付</w:t>
      </w:r>
      <w:r>
        <w:rPr>
          <w:rFonts w:hint="eastAsia" w:ascii="仿宋" w:hAnsi="仿宋" w:eastAsia="仿宋" w:cs="仿宋"/>
          <w:color w:val="auto"/>
          <w:kern w:val="0"/>
          <w:sz w:val="24"/>
          <w:szCs w:val="24"/>
          <w:highlight w:val="none"/>
          <w:lang w:val="en-US" w:eastAsia="zh-CN"/>
        </w:rPr>
        <w:t>当月服务费</w:t>
      </w:r>
      <w:r>
        <w:rPr>
          <w:rFonts w:hint="eastAsia" w:ascii="仿宋" w:hAnsi="仿宋" w:eastAsia="仿宋" w:cs="仿宋"/>
          <w:color w:val="auto"/>
          <w:kern w:val="0"/>
          <w:sz w:val="24"/>
          <w:szCs w:val="24"/>
          <w:highlight w:val="none"/>
        </w:rPr>
        <w:t>100％，；94分（含）及以下：每低1分，按当月服务费扣除0.5％，并限期整改；85-70分：每低1分，按当月服务费扣除0.5％，约谈</w:t>
      </w:r>
      <w:r>
        <w:rPr>
          <w:rFonts w:hint="eastAsia" w:ascii="仿宋" w:hAnsi="仿宋" w:eastAsia="仿宋" w:cs="仿宋"/>
          <w:color w:val="auto"/>
          <w:kern w:val="0"/>
          <w:sz w:val="24"/>
          <w:szCs w:val="24"/>
          <w:highlight w:val="none"/>
          <w:lang w:val="en-US" w:eastAsia="zh-CN"/>
        </w:rPr>
        <w:t>服务单位</w:t>
      </w:r>
      <w:r>
        <w:rPr>
          <w:rFonts w:hint="eastAsia" w:ascii="仿宋" w:hAnsi="仿宋" w:eastAsia="仿宋" w:cs="仿宋"/>
          <w:color w:val="auto"/>
          <w:kern w:val="0"/>
          <w:sz w:val="24"/>
          <w:szCs w:val="24"/>
          <w:highlight w:val="none"/>
        </w:rPr>
        <w:t>负责人；＜70分：暂停付款，启动合同终止流程。</w:t>
      </w:r>
    </w:p>
    <w:p w14:paraId="65A4DDCA">
      <w:pPr>
        <w:widowControl/>
        <w:shd w:val="clear" w:color="auto" w:fill="FFFFFF"/>
        <w:spacing w:line="360" w:lineRule="auto"/>
        <w:ind w:right="300"/>
        <w:jc w:val="center"/>
        <w:rPr>
          <w:rFonts w:hint="eastAsia" w:ascii="仿宋" w:hAnsi="仿宋" w:eastAsia="仿宋" w:cs="仿宋"/>
          <w:color w:val="auto"/>
          <w:kern w:val="0"/>
          <w:sz w:val="24"/>
          <w:szCs w:val="24"/>
          <w:highlight w:val="none"/>
        </w:rPr>
      </w:pPr>
      <w:r>
        <w:rPr>
          <w:rFonts w:hint="eastAsia" w:ascii="仿宋" w:hAnsi="仿宋" w:eastAsia="仿宋" w:cs="仿宋"/>
          <w:b/>
          <w:bCs/>
          <w:color w:val="auto"/>
          <w:kern w:val="0"/>
          <w:sz w:val="24"/>
          <w:szCs w:val="24"/>
          <w:highlight w:val="none"/>
        </w:rPr>
        <w:t>第五章 附 则</w:t>
      </w:r>
    </w:p>
    <w:p w14:paraId="5D44BD36">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第九条  由于甲方属于特殊行业，不允许出现重大事故，若出现重大事故则考核为一票否决。</w:t>
      </w:r>
    </w:p>
    <w:p w14:paraId="54F3E4E7">
      <w:pPr>
        <w:spacing w:line="360" w:lineRule="auto"/>
        <w:rPr>
          <w:rFonts w:hint="eastAsia" w:ascii="仿宋" w:hAnsi="仿宋" w:eastAsia="仿宋" w:cs="仿宋"/>
          <w:color w:val="auto"/>
          <w:sz w:val="24"/>
          <w:szCs w:val="24"/>
          <w:highlight w:val="none"/>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仿宋" w:hAnsi="仿宋" w:eastAsia="仿宋" w:cs="仿宋"/>
          <w:color w:val="auto"/>
          <w:sz w:val="24"/>
          <w:szCs w:val="24"/>
          <w:highlight w:val="none"/>
        </w:rPr>
        <w:t>第十条  该考核办法在运行过程中，根据实际情况可进行内容补充</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调整</w:t>
      </w:r>
      <w:r>
        <w:rPr>
          <w:rFonts w:hint="eastAsia" w:ascii="仿宋" w:hAnsi="仿宋" w:eastAsia="仿宋" w:cs="仿宋"/>
          <w:color w:val="auto"/>
          <w:sz w:val="24"/>
          <w:szCs w:val="24"/>
          <w:highlight w:val="none"/>
        </w:rPr>
        <w:t>。</w:t>
      </w:r>
    </w:p>
    <w:p w14:paraId="660FA203">
      <w:pPr>
        <w:keepNext w:val="0"/>
        <w:keepLines w:val="0"/>
        <w:pageBreakBefore w:val="0"/>
        <w:widowControl w:val="0"/>
        <w:numPr>
          <w:ilvl w:val="0"/>
          <w:numId w:val="0"/>
        </w:numPr>
        <w:kinsoku/>
        <w:wordWrap/>
        <w:overflowPunct w:val="0"/>
        <w:topLinePunct w:val="0"/>
        <w:autoSpaceDE/>
        <w:autoSpaceDN/>
        <w:bidi w:val="0"/>
        <w:adjustRightInd/>
        <w:snapToGrid/>
        <w:spacing w:line="460" w:lineRule="exact"/>
        <w:ind w:firstLine="5800" w:firstLineChars="2700"/>
        <w:textAlignment w:val="auto"/>
        <w:rPr>
          <w:rFonts w:hint="eastAsia" w:ascii="仿宋" w:hAnsi="仿宋" w:eastAsia="仿宋" w:cs="仿宋"/>
          <w:b/>
          <w:bCs/>
          <w:i w:val="0"/>
          <w:iCs w:val="0"/>
          <w:caps w:val="0"/>
          <w:color w:val="auto"/>
          <w:spacing w:val="2"/>
          <w:sz w:val="21"/>
          <w:szCs w:val="21"/>
          <w:highlight w:val="none"/>
          <w:shd w:val="clear" w:fill="FFFFFF"/>
          <w:lang w:val="en-US" w:eastAsia="zh-CN"/>
        </w:rPr>
      </w:pPr>
      <w:r>
        <w:rPr>
          <w:rFonts w:hint="eastAsia" w:ascii="仿宋" w:hAnsi="仿宋" w:eastAsia="仿宋" w:cs="仿宋"/>
          <w:b/>
          <w:bCs/>
          <w:i w:val="0"/>
          <w:iCs w:val="0"/>
          <w:caps w:val="0"/>
          <w:color w:val="auto"/>
          <w:spacing w:val="2"/>
          <w:kern w:val="2"/>
          <w:sz w:val="21"/>
          <w:szCs w:val="21"/>
          <w:highlight w:val="none"/>
          <w:shd w:val="clear" w:fill="FFFFFF"/>
          <w:lang w:val="en-US" w:eastAsia="zh-CN" w:bidi="ar-SA"/>
        </w:rPr>
        <w:t>锅炉维保月度考核表</w:t>
      </w:r>
    </w:p>
    <w:p w14:paraId="0D4B2F3C">
      <w:pPr>
        <w:keepNext w:val="0"/>
        <w:keepLines w:val="0"/>
        <w:pageBreakBefore w:val="0"/>
        <w:widowControl w:val="0"/>
        <w:numPr>
          <w:ilvl w:val="0"/>
          <w:numId w:val="0"/>
        </w:numPr>
        <w:kinsoku/>
        <w:wordWrap/>
        <w:overflowPunct w:val="0"/>
        <w:topLinePunct w:val="0"/>
        <w:autoSpaceDE/>
        <w:autoSpaceDN/>
        <w:bidi w:val="0"/>
        <w:adjustRightInd/>
        <w:snapToGrid/>
        <w:spacing w:line="460" w:lineRule="exact"/>
        <w:textAlignment w:val="auto"/>
        <w:rPr>
          <w:rFonts w:hint="eastAsia" w:ascii="仿宋" w:hAnsi="仿宋" w:eastAsia="仿宋" w:cs="仿宋"/>
          <w:b/>
          <w:bCs/>
          <w:i w:val="0"/>
          <w:iCs w:val="0"/>
          <w:caps w:val="0"/>
          <w:color w:val="auto"/>
          <w:spacing w:val="2"/>
          <w:sz w:val="21"/>
          <w:szCs w:val="21"/>
          <w:highlight w:val="none"/>
          <w:shd w:val="clear" w:fill="FFFFFF"/>
          <w:lang w:val="en-US" w:eastAsia="zh-CN"/>
        </w:rPr>
      </w:pPr>
      <w:r>
        <w:rPr>
          <w:rFonts w:hint="eastAsia" w:ascii="仿宋" w:hAnsi="仿宋" w:eastAsia="仿宋" w:cs="仿宋"/>
          <w:b/>
          <w:bCs/>
          <w:i w:val="0"/>
          <w:iCs w:val="0"/>
          <w:caps w:val="0"/>
          <w:color w:val="auto"/>
          <w:spacing w:val="2"/>
          <w:kern w:val="2"/>
          <w:sz w:val="21"/>
          <w:szCs w:val="21"/>
          <w:highlight w:val="none"/>
          <w:shd w:val="clear" w:fill="FFFFFF"/>
          <w:lang w:val="en-US" w:eastAsia="zh-CN" w:bidi="ar-SA"/>
        </w:rPr>
        <w:t>考核周期：</w:t>
      </w:r>
      <w:r>
        <w:rPr>
          <w:rFonts w:hint="eastAsia" w:ascii="仿宋" w:hAnsi="仿宋" w:eastAsia="仿宋" w:cs="仿宋"/>
          <w:b/>
          <w:bCs/>
          <w:caps w:val="0"/>
          <w:color w:val="auto"/>
          <w:spacing w:val="2"/>
          <w:kern w:val="2"/>
          <w:sz w:val="21"/>
          <w:szCs w:val="21"/>
          <w:highlight w:val="none"/>
          <w:shd w:val="clear" w:fill="FFFFFF"/>
          <w:lang w:val="en-US" w:eastAsia="zh-CN" w:bidi="ar-SA"/>
        </w:rPr>
        <w:t>______年_______月</w:t>
      </w:r>
      <w:r>
        <w:rPr>
          <w:rFonts w:hint="eastAsia" w:ascii="仿宋" w:hAnsi="仿宋" w:eastAsia="仿宋" w:cs="仿宋"/>
          <w:b/>
          <w:bCs/>
          <w:caps w:val="0"/>
          <w:color w:val="auto"/>
          <w:spacing w:val="2"/>
          <w:kern w:val="2"/>
          <w:sz w:val="21"/>
          <w:szCs w:val="21"/>
          <w:highlight w:val="none"/>
          <w:shd w:val="clear" w:fill="FFFFFF"/>
          <w:lang w:val="en-US" w:eastAsia="zh-CN" w:bidi="ar-SA"/>
        </w:rPr>
        <w:br w:type="textWrapping"/>
      </w:r>
      <w:r>
        <w:rPr>
          <w:rFonts w:hint="eastAsia" w:ascii="仿宋" w:hAnsi="仿宋" w:eastAsia="仿宋" w:cs="仿宋"/>
          <w:b/>
          <w:bCs/>
          <w:caps w:val="0"/>
          <w:color w:val="auto"/>
          <w:spacing w:val="2"/>
          <w:kern w:val="2"/>
          <w:sz w:val="21"/>
          <w:szCs w:val="21"/>
          <w:highlight w:val="none"/>
          <w:shd w:val="clear" w:fill="FFFFFF"/>
          <w:lang w:val="en-US" w:eastAsia="zh-CN" w:bidi="ar-SA"/>
        </w:rPr>
        <w:t>被考核单位：</w:t>
      </w:r>
    </w:p>
    <w:tbl>
      <w:tblPr>
        <w:tblStyle w:val="3"/>
        <w:tblW w:w="14160"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1529"/>
        <w:gridCol w:w="4297"/>
        <w:gridCol w:w="1033"/>
        <w:gridCol w:w="4521"/>
        <w:gridCol w:w="767"/>
        <w:gridCol w:w="1413"/>
      </w:tblGrid>
      <w:tr w14:paraId="5311A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shd w:val="clear" w:color="auto" w:fill="auto"/>
            <w:vAlign w:val="center"/>
          </w:tcPr>
          <w:p w14:paraId="63C57CAF">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序号</w:t>
            </w:r>
          </w:p>
        </w:tc>
        <w:tc>
          <w:tcPr>
            <w:tcW w:w="1529" w:type="dxa"/>
            <w:shd w:val="clear" w:color="auto" w:fill="auto"/>
            <w:vAlign w:val="center"/>
          </w:tcPr>
          <w:p w14:paraId="57A62BA5">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考核项目</w:t>
            </w:r>
          </w:p>
        </w:tc>
        <w:tc>
          <w:tcPr>
            <w:tcW w:w="4297" w:type="dxa"/>
            <w:shd w:val="clear" w:color="auto" w:fill="auto"/>
            <w:vAlign w:val="center"/>
          </w:tcPr>
          <w:p w14:paraId="41970577">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考核内容与标准</w:t>
            </w:r>
          </w:p>
        </w:tc>
        <w:tc>
          <w:tcPr>
            <w:tcW w:w="1033" w:type="dxa"/>
            <w:shd w:val="clear" w:color="auto" w:fill="auto"/>
            <w:vAlign w:val="center"/>
          </w:tcPr>
          <w:p w14:paraId="2F6E1183">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分值</w:t>
            </w:r>
          </w:p>
          <w:p w14:paraId="0B4CA0AE">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（100分）</w:t>
            </w:r>
          </w:p>
        </w:tc>
        <w:tc>
          <w:tcPr>
            <w:tcW w:w="4521" w:type="dxa"/>
            <w:shd w:val="clear" w:color="auto" w:fill="auto"/>
            <w:vAlign w:val="center"/>
          </w:tcPr>
          <w:p w14:paraId="5ABC1856">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评分细则</w:t>
            </w:r>
          </w:p>
        </w:tc>
        <w:tc>
          <w:tcPr>
            <w:tcW w:w="767" w:type="dxa"/>
            <w:shd w:val="clear" w:color="auto" w:fill="auto"/>
            <w:vAlign w:val="center"/>
          </w:tcPr>
          <w:p w14:paraId="578F07EA">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实际得分</w:t>
            </w:r>
          </w:p>
        </w:tc>
        <w:tc>
          <w:tcPr>
            <w:tcW w:w="1413" w:type="dxa"/>
            <w:shd w:val="clear" w:color="auto" w:fill="auto"/>
            <w:vAlign w:val="center"/>
          </w:tcPr>
          <w:p w14:paraId="5B9BC439">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扣分原因及事实描述</w:t>
            </w:r>
          </w:p>
        </w:tc>
      </w:tr>
      <w:tr w14:paraId="5C84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tcPr>
          <w:p w14:paraId="24405798">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w:t>
            </w:r>
          </w:p>
        </w:tc>
        <w:tc>
          <w:tcPr>
            <w:tcW w:w="13560" w:type="dxa"/>
            <w:gridSpan w:val="6"/>
          </w:tcPr>
          <w:p w14:paraId="78D56BF7">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日常巡检与预防性保养 (33分)</w:t>
            </w:r>
          </w:p>
        </w:tc>
      </w:tr>
      <w:tr w14:paraId="64479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20273710">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1.1</w:t>
            </w:r>
          </w:p>
        </w:tc>
        <w:tc>
          <w:tcPr>
            <w:tcW w:w="1529" w:type="dxa"/>
            <w:vAlign w:val="center"/>
          </w:tcPr>
          <w:p w14:paraId="58AD893B">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巡检计划与执行</w:t>
            </w:r>
          </w:p>
        </w:tc>
        <w:tc>
          <w:tcPr>
            <w:tcW w:w="4297" w:type="dxa"/>
            <w:vAlign w:val="center"/>
          </w:tcPr>
          <w:p w14:paraId="45597432">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严格按照合同约定频次（如每日/每周/每月）对锅炉设备进行巡检，并有详细巡检记录。</w:t>
            </w:r>
          </w:p>
        </w:tc>
        <w:tc>
          <w:tcPr>
            <w:tcW w:w="1033" w:type="dxa"/>
            <w:vAlign w:val="center"/>
          </w:tcPr>
          <w:p w14:paraId="2F4962E4">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10</w:t>
            </w:r>
          </w:p>
        </w:tc>
        <w:tc>
          <w:tcPr>
            <w:tcW w:w="4521" w:type="dxa"/>
          </w:tcPr>
          <w:p w14:paraId="73CEF881">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巡检记录完整、规范，无遗漏，得10分。每少一次巡检或记录不完整/不规范，扣2分，扣完为止。</w:t>
            </w:r>
          </w:p>
        </w:tc>
        <w:tc>
          <w:tcPr>
            <w:tcW w:w="767" w:type="dxa"/>
          </w:tcPr>
          <w:p w14:paraId="44B7BC79">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3B750916">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113B3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39978B94">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1.2</w:t>
            </w:r>
          </w:p>
        </w:tc>
        <w:tc>
          <w:tcPr>
            <w:tcW w:w="1529" w:type="dxa"/>
            <w:vAlign w:val="center"/>
          </w:tcPr>
          <w:p w14:paraId="68A39B3B">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设备运行状态</w:t>
            </w:r>
          </w:p>
        </w:tc>
        <w:tc>
          <w:tcPr>
            <w:tcW w:w="4297" w:type="dxa"/>
            <w:vAlign w:val="center"/>
          </w:tcPr>
          <w:p w14:paraId="5E653BC1">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巡检时准确判断设备运行状态，及时发现潜在问题并记录上报。</w:t>
            </w:r>
          </w:p>
        </w:tc>
        <w:tc>
          <w:tcPr>
            <w:tcW w:w="1033" w:type="dxa"/>
            <w:vAlign w:val="center"/>
          </w:tcPr>
          <w:p w14:paraId="0D6727FB">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8</w:t>
            </w:r>
          </w:p>
        </w:tc>
        <w:tc>
          <w:tcPr>
            <w:tcW w:w="4521" w:type="dxa"/>
          </w:tcPr>
          <w:p w14:paraId="7C1A407E">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设备运行参数在正常范围，潜在问题及时发现并上报，得8分。发现一处设备异常未及时上报或判断失误，扣2分，扣完为止。</w:t>
            </w:r>
          </w:p>
        </w:tc>
        <w:tc>
          <w:tcPr>
            <w:tcW w:w="767" w:type="dxa"/>
          </w:tcPr>
          <w:p w14:paraId="16BA6959">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38E7319D">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0B48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168C17C9">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1.3</w:t>
            </w:r>
          </w:p>
        </w:tc>
        <w:tc>
          <w:tcPr>
            <w:tcW w:w="1529" w:type="dxa"/>
            <w:vAlign w:val="center"/>
          </w:tcPr>
          <w:p w14:paraId="75CF1256">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预防性保养实施</w:t>
            </w:r>
          </w:p>
        </w:tc>
        <w:tc>
          <w:tcPr>
            <w:tcW w:w="4297" w:type="dxa"/>
            <w:vAlign w:val="center"/>
          </w:tcPr>
          <w:p w14:paraId="6831553F">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严格按照合同约定的保养周期和项目进行预防性保养，并有保养记录和相关凭证。</w:t>
            </w:r>
          </w:p>
        </w:tc>
        <w:tc>
          <w:tcPr>
            <w:tcW w:w="1033" w:type="dxa"/>
            <w:shd w:val="clear" w:color="auto" w:fill="FFFFFF"/>
            <w:vAlign w:val="center"/>
          </w:tcPr>
          <w:p w14:paraId="0ED480EB">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10</w:t>
            </w:r>
          </w:p>
        </w:tc>
        <w:tc>
          <w:tcPr>
            <w:tcW w:w="4521" w:type="dxa"/>
            <w:shd w:val="clear" w:color="auto" w:fill="FFFFFF"/>
            <w:vAlign w:val="center"/>
          </w:tcPr>
          <w:p w14:paraId="0AF8EE46">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保养项目齐全、到位，记录清晰，得10分。每遗漏一项保养或保养不到位，扣2分；记录不规范，扣1分/项，扣完为止。</w:t>
            </w:r>
          </w:p>
        </w:tc>
        <w:tc>
          <w:tcPr>
            <w:tcW w:w="767" w:type="dxa"/>
          </w:tcPr>
          <w:p w14:paraId="4C11AA54">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246F45D4">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263E8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62628002">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1.4</w:t>
            </w:r>
          </w:p>
        </w:tc>
        <w:tc>
          <w:tcPr>
            <w:tcW w:w="1529" w:type="dxa"/>
            <w:vAlign w:val="center"/>
          </w:tcPr>
          <w:p w14:paraId="54C4FFA8">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清洁与环境</w:t>
            </w:r>
          </w:p>
        </w:tc>
        <w:tc>
          <w:tcPr>
            <w:tcW w:w="4297" w:type="dxa"/>
            <w:vAlign w:val="center"/>
          </w:tcPr>
          <w:p w14:paraId="5657145B">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维保工作区域及设备表面清洁，工具材料摆放有序，无遗留垃圾。</w:t>
            </w:r>
          </w:p>
        </w:tc>
        <w:tc>
          <w:tcPr>
            <w:tcW w:w="1033" w:type="dxa"/>
            <w:vAlign w:val="center"/>
          </w:tcPr>
          <w:p w14:paraId="455A9199">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5</w:t>
            </w:r>
          </w:p>
        </w:tc>
        <w:tc>
          <w:tcPr>
            <w:tcW w:w="4521" w:type="dxa"/>
          </w:tcPr>
          <w:p w14:paraId="5174F673">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工作区域及设备清洁，工具材料整理到位，得5分。发现一处不清洁或工具材料乱放，扣1分，扣完为止。</w:t>
            </w:r>
          </w:p>
        </w:tc>
        <w:tc>
          <w:tcPr>
            <w:tcW w:w="767" w:type="dxa"/>
          </w:tcPr>
          <w:p w14:paraId="29E6FB83">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513A2B1C">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3AAF5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tcPr>
          <w:p w14:paraId="7ADCF105">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w:t>
            </w:r>
          </w:p>
        </w:tc>
        <w:tc>
          <w:tcPr>
            <w:tcW w:w="13560" w:type="dxa"/>
            <w:gridSpan w:val="6"/>
            <w:vAlign w:val="center"/>
          </w:tcPr>
          <w:p w14:paraId="56FD4E40">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故障维修与应急处理 (30分)</w:t>
            </w:r>
          </w:p>
        </w:tc>
      </w:tr>
      <w:tr w14:paraId="26B06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0F3A3ABE">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2.1</w:t>
            </w:r>
          </w:p>
        </w:tc>
        <w:tc>
          <w:tcPr>
            <w:tcW w:w="1529" w:type="dxa"/>
            <w:vAlign w:val="center"/>
          </w:tcPr>
          <w:p w14:paraId="579E2091">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响应时间</w:t>
            </w:r>
          </w:p>
        </w:tc>
        <w:tc>
          <w:tcPr>
            <w:tcW w:w="4297" w:type="dxa"/>
          </w:tcPr>
          <w:p w14:paraId="69477EC5">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接到故障报修后，按合同约定时间（5分钟内1小时响应，10小时内到达现场）到达现场处理。</w:t>
            </w:r>
          </w:p>
        </w:tc>
        <w:tc>
          <w:tcPr>
            <w:tcW w:w="1033" w:type="dxa"/>
            <w:shd w:val="clear" w:color="auto" w:fill="FFFFFF"/>
            <w:vAlign w:val="center"/>
          </w:tcPr>
          <w:p w14:paraId="5B88A482">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10</w:t>
            </w:r>
          </w:p>
        </w:tc>
        <w:tc>
          <w:tcPr>
            <w:tcW w:w="4521" w:type="dxa"/>
            <w:shd w:val="clear" w:color="auto" w:fill="FFFFFF"/>
          </w:tcPr>
          <w:p w14:paraId="3A921BAF">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100%按约定时间响应并到达，得10分。每延迟1小时（不足1小时按1小时计），扣1分，扣完为止。</w:t>
            </w:r>
          </w:p>
        </w:tc>
        <w:tc>
          <w:tcPr>
            <w:tcW w:w="767" w:type="dxa"/>
          </w:tcPr>
          <w:p w14:paraId="75BFCF28">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5D90E61E">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7DE5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36622E11">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2.2</w:t>
            </w:r>
          </w:p>
        </w:tc>
        <w:tc>
          <w:tcPr>
            <w:tcW w:w="1529" w:type="dxa"/>
            <w:vAlign w:val="center"/>
          </w:tcPr>
          <w:p w14:paraId="1314836C">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维修及时性</w:t>
            </w:r>
          </w:p>
        </w:tc>
        <w:tc>
          <w:tcPr>
            <w:tcW w:w="4297" w:type="dxa"/>
          </w:tcPr>
          <w:p w14:paraId="42A913FD">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一般故障在合同约定时间内（1小时）修复；重大故障提供书面方案并按方案时间修复或采取临时措施。</w:t>
            </w:r>
          </w:p>
        </w:tc>
        <w:tc>
          <w:tcPr>
            <w:tcW w:w="1033" w:type="dxa"/>
            <w:vAlign w:val="center"/>
          </w:tcPr>
          <w:p w14:paraId="7301A838">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10</w:t>
            </w:r>
          </w:p>
        </w:tc>
        <w:tc>
          <w:tcPr>
            <w:tcW w:w="4521" w:type="dxa"/>
          </w:tcPr>
          <w:p w14:paraId="3716DF97">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一般故障按时修复，重大故障及时处理，得10分。一般故障每超期1小时，扣2分；重大故障未及时提供方案或未按方案执行，扣5分/次，扣完为止。</w:t>
            </w:r>
          </w:p>
        </w:tc>
        <w:tc>
          <w:tcPr>
            <w:tcW w:w="767" w:type="dxa"/>
          </w:tcPr>
          <w:p w14:paraId="5E2A5E01">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11274D6A">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057A6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622C70BD">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2.3</w:t>
            </w:r>
          </w:p>
        </w:tc>
        <w:tc>
          <w:tcPr>
            <w:tcW w:w="1529" w:type="dxa"/>
            <w:vAlign w:val="center"/>
          </w:tcPr>
          <w:p w14:paraId="1F770E90">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维修质量</w:t>
            </w:r>
          </w:p>
        </w:tc>
        <w:tc>
          <w:tcPr>
            <w:tcW w:w="4297" w:type="dxa"/>
          </w:tcPr>
          <w:p w14:paraId="24AB5596">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故障修复彻底，短期内无重复发生；更换配件为原厂或同等质量合格产品，并有更换记录。</w:t>
            </w:r>
          </w:p>
        </w:tc>
        <w:tc>
          <w:tcPr>
            <w:tcW w:w="1033" w:type="dxa"/>
            <w:vAlign w:val="center"/>
          </w:tcPr>
          <w:p w14:paraId="028177EC">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10</w:t>
            </w:r>
          </w:p>
        </w:tc>
        <w:tc>
          <w:tcPr>
            <w:tcW w:w="4521" w:type="dxa"/>
          </w:tcPr>
          <w:p w14:paraId="33C6D26F">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故障彻底修复，无重复发生，配件合格，记录完整，得10分。同一故障一月内重复发生，扣5分/次；使用不合格配件，扣10分/次。</w:t>
            </w:r>
          </w:p>
        </w:tc>
        <w:tc>
          <w:tcPr>
            <w:tcW w:w="767" w:type="dxa"/>
          </w:tcPr>
          <w:p w14:paraId="6A4718C0">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26E36F5C">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1768F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24165157">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2.4</w:t>
            </w:r>
          </w:p>
        </w:tc>
        <w:tc>
          <w:tcPr>
            <w:tcW w:w="1529" w:type="dxa"/>
            <w:vAlign w:val="center"/>
          </w:tcPr>
          <w:p w14:paraId="37AF3B7A">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应急处理能力</w:t>
            </w:r>
          </w:p>
        </w:tc>
        <w:tc>
          <w:tcPr>
            <w:tcW w:w="4297" w:type="dxa"/>
          </w:tcPr>
          <w:p w14:paraId="359D9CCE">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接到紧急故障（如大面积停机、影响重要区域等）后，按合同约定最快时间到达并组织抢修，有应急方案并演练。</w:t>
            </w:r>
          </w:p>
        </w:tc>
        <w:tc>
          <w:tcPr>
            <w:tcW w:w="1033" w:type="dxa"/>
            <w:vAlign w:val="center"/>
          </w:tcPr>
          <w:p w14:paraId="1B73F6DE">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5</w:t>
            </w:r>
          </w:p>
        </w:tc>
        <w:tc>
          <w:tcPr>
            <w:tcW w:w="4521" w:type="dxa"/>
          </w:tcPr>
          <w:p w14:paraId="0256187F">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应急响应迅速，处理得当，有效降低影响，得5分。响应迟缓或处理不当造成不良影响，扣3-5分。</w:t>
            </w:r>
          </w:p>
        </w:tc>
        <w:tc>
          <w:tcPr>
            <w:tcW w:w="767" w:type="dxa"/>
          </w:tcPr>
          <w:p w14:paraId="6D694D19">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022D147D">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2C24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tcPr>
          <w:p w14:paraId="60ACFB96">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w:t>
            </w:r>
          </w:p>
        </w:tc>
        <w:tc>
          <w:tcPr>
            <w:tcW w:w="13560" w:type="dxa"/>
            <w:gridSpan w:val="6"/>
          </w:tcPr>
          <w:p w14:paraId="25D77ACC">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人员与管理 (18分)</w:t>
            </w:r>
          </w:p>
        </w:tc>
      </w:tr>
      <w:tr w14:paraId="05028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6AE0AC2E">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3.1</w:t>
            </w:r>
          </w:p>
        </w:tc>
        <w:tc>
          <w:tcPr>
            <w:tcW w:w="1529" w:type="dxa"/>
            <w:shd w:val="clear" w:color="auto" w:fill="FFFFFF"/>
            <w:vAlign w:val="center"/>
          </w:tcPr>
          <w:p w14:paraId="6DE5CAC7">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项目经理与培训</w:t>
            </w:r>
          </w:p>
        </w:tc>
        <w:tc>
          <w:tcPr>
            <w:tcW w:w="4297" w:type="dxa"/>
            <w:shd w:val="clear" w:color="auto" w:fill="FFFFFF"/>
            <w:vAlign w:val="center"/>
          </w:tcPr>
          <w:p w14:paraId="29A43B93">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项目经理每周在岗时间不少于40小时。驻守人员着装统一规范，佩戴工牌；定期进行专业技能和医院相关规章制度培训。</w:t>
            </w:r>
          </w:p>
        </w:tc>
        <w:tc>
          <w:tcPr>
            <w:tcW w:w="1033" w:type="dxa"/>
            <w:shd w:val="clear" w:color="auto" w:fill="FFFFFF"/>
            <w:vAlign w:val="center"/>
          </w:tcPr>
          <w:p w14:paraId="65C54976">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5</w:t>
            </w:r>
          </w:p>
        </w:tc>
        <w:tc>
          <w:tcPr>
            <w:tcW w:w="4521" w:type="dxa"/>
            <w:shd w:val="clear" w:color="auto" w:fill="FFFFFF"/>
            <w:vAlign w:val="top"/>
          </w:tcPr>
          <w:p w14:paraId="0D8E82EA">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项目经理每周在岗时间不少于40小时，得2分，少于40小时扣2分。人员资质符合要求，着装规范，得3分。发现无证上岗或着装不规范，扣1分/人；未提供培训记录，扣3分。</w:t>
            </w:r>
          </w:p>
        </w:tc>
        <w:tc>
          <w:tcPr>
            <w:tcW w:w="767" w:type="dxa"/>
          </w:tcPr>
          <w:p w14:paraId="56043DEB">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77809424">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622FF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6F36D3E5">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3.2</w:t>
            </w:r>
          </w:p>
        </w:tc>
        <w:tc>
          <w:tcPr>
            <w:tcW w:w="1529" w:type="dxa"/>
            <w:vAlign w:val="center"/>
          </w:tcPr>
          <w:p w14:paraId="0FB65CB1">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安全操作</w:t>
            </w:r>
          </w:p>
        </w:tc>
        <w:tc>
          <w:tcPr>
            <w:tcW w:w="4297" w:type="dxa"/>
            <w:vAlign w:val="center"/>
          </w:tcPr>
          <w:p w14:paraId="6AED5953">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严格遵守医院安全管理规定及操作规程，无安全事故发生（如触电、火灾、设备损坏等）。</w:t>
            </w:r>
          </w:p>
        </w:tc>
        <w:tc>
          <w:tcPr>
            <w:tcW w:w="1033" w:type="dxa"/>
            <w:vAlign w:val="center"/>
          </w:tcPr>
          <w:p w14:paraId="436B3FB4">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5</w:t>
            </w:r>
          </w:p>
        </w:tc>
        <w:tc>
          <w:tcPr>
            <w:tcW w:w="4521" w:type="dxa"/>
          </w:tcPr>
          <w:p w14:paraId="5D1A9340">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无安全事故，操作规范，得5分。发生一般安全隐患未造成损失，扣2分；发生安全事故，视情节扣5-10分，并追究相关责任。</w:t>
            </w:r>
          </w:p>
        </w:tc>
        <w:tc>
          <w:tcPr>
            <w:tcW w:w="767" w:type="dxa"/>
          </w:tcPr>
          <w:p w14:paraId="3D3079F4">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4F91434E">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522D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737388BE">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3.3</w:t>
            </w:r>
          </w:p>
        </w:tc>
        <w:tc>
          <w:tcPr>
            <w:tcW w:w="1529" w:type="dxa"/>
            <w:vAlign w:val="center"/>
          </w:tcPr>
          <w:p w14:paraId="29FF4109">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资料记录与提交</w:t>
            </w:r>
          </w:p>
        </w:tc>
        <w:tc>
          <w:tcPr>
            <w:tcW w:w="4297" w:type="dxa"/>
            <w:vAlign w:val="center"/>
          </w:tcPr>
          <w:p w14:paraId="7FF432A4">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按时提交月度维保总结报告、设备运行状况分析、耗材更换计划、维修记录等资料，内容真实、准确、完整。</w:t>
            </w:r>
          </w:p>
        </w:tc>
        <w:tc>
          <w:tcPr>
            <w:tcW w:w="1033" w:type="dxa"/>
            <w:vAlign w:val="center"/>
          </w:tcPr>
          <w:p w14:paraId="60A82361">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10</w:t>
            </w:r>
          </w:p>
        </w:tc>
        <w:tc>
          <w:tcPr>
            <w:tcW w:w="4521" w:type="dxa"/>
          </w:tcPr>
          <w:p w14:paraId="55FDB417">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资料提交及时、完整、准确，得5分。每迟交1天扣1分；内容不完整或不准确，每项扣1分，扣完为止。</w:t>
            </w:r>
          </w:p>
        </w:tc>
        <w:tc>
          <w:tcPr>
            <w:tcW w:w="767" w:type="dxa"/>
          </w:tcPr>
          <w:p w14:paraId="105EBBCB">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0CE194AB">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7A1B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3D95D370">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3.4</w:t>
            </w:r>
          </w:p>
        </w:tc>
        <w:tc>
          <w:tcPr>
            <w:tcW w:w="1529" w:type="dxa"/>
            <w:shd w:val="clear" w:color="auto" w:fill="FFFFFF"/>
            <w:vAlign w:val="center"/>
          </w:tcPr>
          <w:p w14:paraId="71BA8023">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备品备件管理</w:t>
            </w:r>
          </w:p>
        </w:tc>
        <w:tc>
          <w:tcPr>
            <w:tcW w:w="4297" w:type="dxa"/>
            <w:shd w:val="clear" w:color="auto" w:fill="FFFFFF"/>
            <w:vAlign w:val="center"/>
          </w:tcPr>
          <w:p w14:paraId="2CB534BE">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常用备品备件储备充足，能满足维修需求；更换下的废旧物料按医院规定处理。</w:t>
            </w:r>
          </w:p>
        </w:tc>
        <w:tc>
          <w:tcPr>
            <w:tcW w:w="1033" w:type="dxa"/>
            <w:shd w:val="clear" w:color="auto" w:fill="FFFFFF"/>
            <w:vAlign w:val="center"/>
          </w:tcPr>
          <w:p w14:paraId="32B67DD7">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w:t>
            </w:r>
          </w:p>
        </w:tc>
        <w:tc>
          <w:tcPr>
            <w:tcW w:w="4521" w:type="dxa"/>
            <w:shd w:val="clear" w:color="auto" w:fill="FFFFFF"/>
          </w:tcPr>
          <w:p w14:paraId="43CA2F9A">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备件充足，废旧物料处理规范，得3分。因备件不足导致维修延误，扣1分/次；废旧物料处理不当，扣1分/次。</w:t>
            </w:r>
          </w:p>
        </w:tc>
        <w:tc>
          <w:tcPr>
            <w:tcW w:w="767" w:type="dxa"/>
          </w:tcPr>
          <w:p w14:paraId="49FB1FDE">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727C7F73">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3646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tcPr>
          <w:p w14:paraId="3E1F7DB4">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4</w:t>
            </w:r>
          </w:p>
        </w:tc>
        <w:tc>
          <w:tcPr>
            <w:tcW w:w="13560" w:type="dxa"/>
            <w:gridSpan w:val="6"/>
            <w:shd w:val="clear" w:color="auto" w:fill="FFFFFF"/>
            <w:vAlign w:val="center"/>
          </w:tcPr>
          <w:p w14:paraId="44C79E63">
            <w:pPr>
              <w:keepNext w:val="0"/>
              <w:keepLines w:val="0"/>
              <w:pageBreakBefore w:val="0"/>
              <w:widowControl w:val="0"/>
              <w:kinsoku/>
              <w:wordWrap/>
              <w:overflowPunct w:val="0"/>
              <w:topLinePunct w:val="0"/>
              <w:autoSpaceDE/>
              <w:autoSpaceDN/>
              <w:bidi w:val="0"/>
              <w:adjustRightInd/>
              <w:snapToGrid/>
              <w:spacing w:line="360" w:lineRule="exact"/>
              <w:jc w:val="left"/>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服务质量与沟通 (19分)</w:t>
            </w:r>
          </w:p>
        </w:tc>
      </w:tr>
      <w:tr w14:paraId="587C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7E9C38CF">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4.1</w:t>
            </w:r>
          </w:p>
        </w:tc>
        <w:tc>
          <w:tcPr>
            <w:tcW w:w="1529" w:type="dxa"/>
            <w:shd w:val="clear" w:color="auto" w:fill="FFFFFF"/>
            <w:vAlign w:val="center"/>
          </w:tcPr>
          <w:p w14:paraId="0DD3DC18">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服务态度</w:t>
            </w:r>
          </w:p>
        </w:tc>
        <w:tc>
          <w:tcPr>
            <w:tcW w:w="4297" w:type="dxa"/>
            <w:shd w:val="clear" w:color="auto" w:fill="FFFFFF"/>
          </w:tcPr>
          <w:p w14:paraId="1B0104CC">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服务热情、主动，耐心解答疑问，虚心接受意见。</w:t>
            </w:r>
          </w:p>
        </w:tc>
        <w:tc>
          <w:tcPr>
            <w:tcW w:w="1033" w:type="dxa"/>
            <w:shd w:val="clear" w:color="auto" w:fill="FFFFFF"/>
            <w:vAlign w:val="center"/>
          </w:tcPr>
          <w:p w14:paraId="060A861A">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w:t>
            </w:r>
          </w:p>
        </w:tc>
        <w:tc>
          <w:tcPr>
            <w:tcW w:w="4521" w:type="dxa"/>
            <w:shd w:val="clear" w:color="auto" w:fill="FFFFFF"/>
            <w:vAlign w:val="center"/>
          </w:tcPr>
          <w:p w14:paraId="2C6FBC7E">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服务态度好，医患及院内科室反映良好，得3分。接到有效投诉一次，扣1-3分。</w:t>
            </w:r>
          </w:p>
        </w:tc>
        <w:tc>
          <w:tcPr>
            <w:tcW w:w="767" w:type="dxa"/>
          </w:tcPr>
          <w:p w14:paraId="52E1F94A">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1936E91A">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1CACA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29F3A4FD">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4.2</w:t>
            </w:r>
          </w:p>
        </w:tc>
        <w:tc>
          <w:tcPr>
            <w:tcW w:w="1529" w:type="dxa"/>
            <w:shd w:val="clear" w:color="auto" w:fill="FFFFFF"/>
            <w:vAlign w:val="center"/>
          </w:tcPr>
          <w:p w14:paraId="0BB44038">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沟通协调</w:t>
            </w:r>
          </w:p>
        </w:tc>
        <w:tc>
          <w:tcPr>
            <w:tcW w:w="4297" w:type="dxa"/>
            <w:shd w:val="clear" w:color="auto" w:fill="FFFFFF"/>
          </w:tcPr>
          <w:p w14:paraId="1BE800E4">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与医院后勤管理部门及使用科室保持良好沟通，重要事项及时汇报，积极配合医院工作安排。</w:t>
            </w:r>
          </w:p>
        </w:tc>
        <w:tc>
          <w:tcPr>
            <w:tcW w:w="1033" w:type="dxa"/>
            <w:shd w:val="clear" w:color="auto" w:fill="FFFFFF"/>
            <w:vAlign w:val="center"/>
          </w:tcPr>
          <w:p w14:paraId="20182F52">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w:t>
            </w:r>
          </w:p>
        </w:tc>
        <w:tc>
          <w:tcPr>
            <w:tcW w:w="4521" w:type="dxa"/>
            <w:shd w:val="clear" w:color="auto" w:fill="FFFFFF"/>
            <w:vAlign w:val="center"/>
          </w:tcPr>
          <w:p w14:paraId="7ECB7F71">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沟通顺畅，配合积极，得3分。重要事项未及时汇报或配合不力，扣1-3分。</w:t>
            </w:r>
          </w:p>
        </w:tc>
        <w:tc>
          <w:tcPr>
            <w:tcW w:w="767" w:type="dxa"/>
          </w:tcPr>
          <w:p w14:paraId="479BEAE6">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7007A338">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44D5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376A7337">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4.3</w:t>
            </w:r>
          </w:p>
        </w:tc>
        <w:tc>
          <w:tcPr>
            <w:tcW w:w="1529" w:type="dxa"/>
            <w:shd w:val="clear" w:color="auto" w:fill="FFFFFF"/>
            <w:vAlign w:val="center"/>
          </w:tcPr>
          <w:p w14:paraId="67E90143">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投诉处理</w:t>
            </w:r>
          </w:p>
        </w:tc>
        <w:tc>
          <w:tcPr>
            <w:tcW w:w="4297" w:type="dxa"/>
            <w:shd w:val="clear" w:color="auto" w:fill="FFFFFF"/>
          </w:tcPr>
          <w:p w14:paraId="18DF6C28">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对医院提出的投诉或异议，能及时响应并妥善处理。</w:t>
            </w:r>
          </w:p>
        </w:tc>
        <w:tc>
          <w:tcPr>
            <w:tcW w:w="1033" w:type="dxa"/>
            <w:shd w:val="clear" w:color="auto" w:fill="FFFFFF"/>
            <w:vAlign w:val="center"/>
          </w:tcPr>
          <w:p w14:paraId="65665AA4">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w:t>
            </w:r>
          </w:p>
        </w:tc>
        <w:tc>
          <w:tcPr>
            <w:tcW w:w="4521" w:type="dxa"/>
            <w:shd w:val="clear" w:color="auto" w:fill="FFFFFF"/>
            <w:vAlign w:val="center"/>
          </w:tcPr>
          <w:p w14:paraId="79A06F7C">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投诉处理及时、满意，得3分。投诉处理不及时或处理结果不满意，扣1-3分。</w:t>
            </w:r>
          </w:p>
        </w:tc>
        <w:tc>
          <w:tcPr>
            <w:tcW w:w="767" w:type="dxa"/>
          </w:tcPr>
          <w:p w14:paraId="31BCC7F9">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c>
          <w:tcPr>
            <w:tcW w:w="1413" w:type="dxa"/>
          </w:tcPr>
          <w:p w14:paraId="67E898BB">
            <w:pPr>
              <w:keepNext w:val="0"/>
              <w:keepLines w:val="0"/>
              <w:pageBreakBefore w:val="0"/>
              <w:widowControl w:val="0"/>
              <w:kinsoku/>
              <w:wordWrap/>
              <w:overflowPunct w:val="0"/>
              <w:topLinePunct w:val="0"/>
              <w:autoSpaceDE/>
              <w:autoSpaceDN/>
              <w:bidi w:val="0"/>
              <w:adjustRightInd/>
              <w:snapToGrid/>
              <w:spacing w:line="360" w:lineRule="exact"/>
              <w:jc w:val="both"/>
              <w:textAlignment w:val="auto"/>
              <w:rPr>
                <w:rFonts w:hint="eastAsia" w:ascii="仿宋" w:hAnsi="仿宋" w:eastAsia="仿宋" w:cs="仿宋"/>
                <w:color w:val="auto"/>
                <w:kern w:val="0"/>
                <w:sz w:val="21"/>
                <w:szCs w:val="21"/>
                <w:highlight w:val="none"/>
                <w:vertAlign w:val="baseline"/>
                <w:lang w:val="en-US" w:eastAsia="zh-CN" w:bidi="ar-SA"/>
              </w:rPr>
            </w:pPr>
          </w:p>
        </w:tc>
      </w:tr>
      <w:tr w14:paraId="6CF7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9" w:hRule="atLeast"/>
        </w:trPr>
        <w:tc>
          <w:tcPr>
            <w:tcW w:w="14160" w:type="dxa"/>
            <w:gridSpan w:val="7"/>
          </w:tcPr>
          <w:p w14:paraId="28A64F53">
            <w:pPr>
              <w:keepNext w:val="0"/>
              <w:keepLines w:val="0"/>
              <w:pageBreakBefore w:val="0"/>
              <w:widowControl/>
              <w:suppressLineNumbers w:val="0"/>
              <w:shd w:val="clear" w:fill="FFFFFF"/>
              <w:kinsoku/>
              <w:wordWrap/>
              <w:topLinePunct w:val="0"/>
              <w:autoSpaceDE/>
              <w:autoSpaceDN/>
              <w:bidi w:val="0"/>
              <w:adjustRightInd/>
              <w:snapToGrid/>
              <w:spacing w:before="0" w:beforeAutospacing="0" w:after="105" w:afterAutospacing="0" w:line="360" w:lineRule="exact"/>
              <w:ind w:left="0" w:right="0" w:firstLine="0"/>
              <w:jc w:val="left"/>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注：</w:t>
            </w:r>
          </w:p>
          <w:p w14:paraId="1A23AC6F">
            <w:pPr>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105" w:afterAutospacing="0" w:line="360" w:lineRule="exact"/>
              <w:ind w:left="720" w:leftChars="0" w:right="0" w:rightChars="0" w:hanging="360" w:firstLineChars="0"/>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1.本考核表将作为月度服务费用支付、合同续签及年度评价的重要依据。</w:t>
            </w:r>
          </w:p>
          <w:p w14:paraId="19016E47">
            <w:pPr>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105" w:afterAutospacing="0" w:line="360" w:lineRule="exact"/>
              <w:ind w:left="720" w:leftChars="0" w:right="0" w:rightChars="0" w:hanging="360" w:firstLineChars="0"/>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4"/>
                <w:szCs w:val="24"/>
                <w:highlight w:val="none"/>
                <w:vertAlign w:val="baseline"/>
                <w:lang w:val="en-US" w:eastAsia="zh-CN" w:bidi="ar-SA"/>
              </w:rPr>
              <w:t>2.</w:t>
            </w:r>
            <w:r>
              <w:rPr>
                <w:rFonts w:hint="eastAsia" w:ascii="仿宋" w:hAnsi="仿宋" w:eastAsia="仿宋" w:cs="仿宋"/>
                <w:color w:val="auto"/>
                <w:kern w:val="0"/>
                <w:sz w:val="21"/>
                <w:szCs w:val="21"/>
                <w:highlight w:val="none"/>
                <w:vertAlign w:val="baseline"/>
                <w:lang w:val="en-US" w:eastAsia="zh-CN" w:bidi="ar-SA"/>
              </w:rPr>
              <w:t>“扣分原因及事实描述”栏应具体、客观，必要时可附照片、记录等佐证材料。</w:t>
            </w:r>
          </w:p>
          <w:p w14:paraId="07A451D7">
            <w:pPr>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105" w:afterAutospacing="0" w:line="360" w:lineRule="exact"/>
              <w:ind w:left="720" w:leftChars="0" w:right="0" w:rightChars="0" w:hanging="360" w:firstLineChars="0"/>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4"/>
                <w:szCs w:val="24"/>
                <w:highlight w:val="none"/>
                <w:vertAlign w:val="baseline"/>
                <w:lang w:val="en-US" w:eastAsia="zh-CN" w:bidi="ar-SA"/>
              </w:rPr>
              <w:t>3.</w:t>
            </w:r>
            <w:r>
              <w:rPr>
                <w:rFonts w:hint="eastAsia" w:ascii="仿宋" w:hAnsi="仿宋" w:eastAsia="仿宋" w:cs="仿宋"/>
                <w:color w:val="auto"/>
                <w:kern w:val="0"/>
                <w:sz w:val="21"/>
                <w:szCs w:val="21"/>
                <w:highlight w:val="none"/>
                <w:vertAlign w:val="baseline"/>
                <w:lang w:val="en-US" w:eastAsia="zh-CN" w:bidi="ar-SA"/>
              </w:rPr>
              <w:t>对于严重违反合同约定或造成重大损失的情况，除扣分外，医院有权依据合同条款采取进一步措施。</w:t>
            </w:r>
          </w:p>
          <w:p w14:paraId="06C182DF">
            <w:pPr>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105" w:afterAutospacing="0" w:line="360" w:lineRule="exact"/>
              <w:ind w:left="720" w:leftChars="0" w:right="0" w:rightChars="0" w:hanging="360" w:firstLineChars="0"/>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4"/>
                <w:szCs w:val="24"/>
                <w:highlight w:val="none"/>
                <w:vertAlign w:val="baseline"/>
                <w:lang w:val="en-US" w:eastAsia="zh-CN" w:bidi="ar-SA"/>
              </w:rPr>
              <w:t>4.</w:t>
            </w:r>
            <w:r>
              <w:rPr>
                <w:rFonts w:hint="eastAsia" w:ascii="仿宋" w:hAnsi="仿宋" w:eastAsia="仿宋" w:cs="仿宋"/>
                <w:color w:val="auto"/>
                <w:kern w:val="0"/>
                <w:sz w:val="21"/>
                <w:szCs w:val="21"/>
                <w:highlight w:val="none"/>
                <w:vertAlign w:val="baseline"/>
                <w:lang w:val="en-US" w:eastAsia="zh-CN" w:bidi="ar-SA"/>
              </w:rPr>
              <w:t>两个院区，可分别打分后取平均值或按权重综合。</w:t>
            </w:r>
          </w:p>
          <w:p w14:paraId="7B93A25A">
            <w:pPr>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105" w:afterAutospacing="0" w:line="360" w:lineRule="exact"/>
              <w:ind w:right="0" w:rightChars="0"/>
              <w:textAlignment w:val="auto"/>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考核</w:t>
            </w:r>
            <w:r>
              <w:rPr>
                <w:rFonts w:hint="default" w:ascii="仿宋" w:hAnsi="仿宋" w:eastAsia="仿宋" w:cs="仿宋"/>
                <w:color w:val="auto"/>
                <w:kern w:val="0"/>
                <w:sz w:val="21"/>
                <w:szCs w:val="21"/>
                <w:highlight w:val="none"/>
                <w:vertAlign w:val="baseline"/>
                <w:lang w:val="en-US" w:eastAsia="zh-CN" w:bidi="ar-SA"/>
              </w:rPr>
              <w:t>结果应用：</w:t>
            </w:r>
          </w:p>
          <w:p w14:paraId="3AB34138">
            <w:pPr>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105" w:afterAutospacing="0" w:line="360" w:lineRule="exact"/>
              <w:ind w:right="0" w:rightChars="0" w:firstLine="420" w:firstLineChars="200"/>
              <w:textAlignment w:val="auto"/>
              <w:rPr>
                <w:rFonts w:hint="default" w:ascii="仿宋" w:hAnsi="仿宋" w:eastAsia="仿宋" w:cs="仿宋"/>
                <w:color w:val="auto"/>
                <w:kern w:val="0"/>
                <w:sz w:val="21"/>
                <w:szCs w:val="21"/>
                <w:highlight w:val="none"/>
                <w:vertAlign w:val="baseline"/>
                <w:lang w:val="en-US" w:eastAsia="zh-CN" w:bidi="ar-SA"/>
              </w:rPr>
            </w:pPr>
            <w:r>
              <w:rPr>
                <w:rFonts w:hint="default" w:ascii="仿宋" w:hAnsi="仿宋" w:eastAsia="仿宋" w:cs="仿宋"/>
                <w:color w:val="auto"/>
                <w:kern w:val="0"/>
                <w:sz w:val="21"/>
                <w:szCs w:val="21"/>
                <w:highlight w:val="none"/>
                <w:vertAlign w:val="baseline"/>
                <w:lang w:val="en-US" w:eastAsia="zh-CN" w:bidi="ar-SA"/>
              </w:rPr>
              <w:t>95-100分：付</w:t>
            </w:r>
            <w:r>
              <w:rPr>
                <w:rFonts w:hint="eastAsia" w:ascii="仿宋" w:hAnsi="仿宋" w:eastAsia="仿宋" w:cs="仿宋"/>
                <w:color w:val="auto"/>
                <w:kern w:val="0"/>
                <w:sz w:val="21"/>
                <w:szCs w:val="21"/>
                <w:highlight w:val="none"/>
                <w:vertAlign w:val="baseline"/>
                <w:lang w:val="en-US" w:eastAsia="zh-CN" w:bidi="ar-SA"/>
              </w:rPr>
              <w:t>当月服务费</w:t>
            </w:r>
            <w:r>
              <w:rPr>
                <w:rFonts w:hint="default" w:ascii="仿宋" w:hAnsi="仿宋" w:eastAsia="仿宋" w:cs="仿宋"/>
                <w:color w:val="auto"/>
                <w:kern w:val="0"/>
                <w:sz w:val="21"/>
                <w:szCs w:val="21"/>
                <w:highlight w:val="none"/>
                <w:vertAlign w:val="baseline"/>
                <w:lang w:val="en-US" w:eastAsia="zh-CN" w:bidi="ar-SA"/>
              </w:rPr>
              <w:t>100％，；</w:t>
            </w:r>
          </w:p>
          <w:p w14:paraId="6F993552">
            <w:pPr>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105" w:afterAutospacing="0" w:line="360" w:lineRule="exact"/>
              <w:ind w:right="0" w:rightChars="0" w:firstLine="420" w:firstLineChars="200"/>
              <w:textAlignment w:val="auto"/>
              <w:rPr>
                <w:rFonts w:hint="default" w:ascii="仿宋" w:hAnsi="仿宋" w:eastAsia="仿宋" w:cs="仿宋"/>
                <w:color w:val="auto"/>
                <w:kern w:val="0"/>
                <w:sz w:val="21"/>
                <w:szCs w:val="21"/>
                <w:highlight w:val="none"/>
                <w:vertAlign w:val="baseline"/>
                <w:lang w:val="en-US" w:eastAsia="zh-CN" w:bidi="ar-SA"/>
              </w:rPr>
            </w:pPr>
            <w:r>
              <w:rPr>
                <w:rFonts w:hint="default" w:ascii="仿宋" w:hAnsi="仿宋" w:eastAsia="仿宋" w:cs="仿宋"/>
                <w:color w:val="auto"/>
                <w:kern w:val="0"/>
                <w:sz w:val="21"/>
                <w:szCs w:val="21"/>
                <w:highlight w:val="none"/>
                <w:vertAlign w:val="baseline"/>
                <w:lang w:val="en-US" w:eastAsia="zh-CN" w:bidi="ar-SA"/>
              </w:rPr>
              <w:t>94分（含）及以下：每低1分，按当月服务费扣除0.5％，并限期整改；</w:t>
            </w:r>
          </w:p>
          <w:p w14:paraId="05EA8504">
            <w:pPr>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105" w:afterAutospacing="0" w:line="360" w:lineRule="exact"/>
              <w:ind w:right="0" w:rightChars="0" w:firstLine="420" w:firstLineChars="200"/>
              <w:textAlignment w:val="auto"/>
              <w:rPr>
                <w:rFonts w:hint="default" w:ascii="仿宋" w:hAnsi="仿宋" w:eastAsia="仿宋" w:cs="仿宋"/>
                <w:color w:val="auto"/>
                <w:kern w:val="0"/>
                <w:sz w:val="21"/>
                <w:szCs w:val="21"/>
                <w:highlight w:val="none"/>
                <w:vertAlign w:val="baseline"/>
                <w:lang w:val="en-US" w:eastAsia="zh-CN" w:bidi="ar-SA"/>
              </w:rPr>
            </w:pPr>
            <w:r>
              <w:rPr>
                <w:rFonts w:hint="default" w:ascii="仿宋" w:hAnsi="仿宋" w:eastAsia="仿宋" w:cs="仿宋"/>
                <w:color w:val="auto"/>
                <w:kern w:val="0"/>
                <w:sz w:val="21"/>
                <w:szCs w:val="21"/>
                <w:highlight w:val="none"/>
                <w:vertAlign w:val="baseline"/>
                <w:lang w:val="en-US" w:eastAsia="zh-CN" w:bidi="ar-SA"/>
              </w:rPr>
              <w:t>85-70分：每低1分，按当月服务费扣除0.5％，约谈</w:t>
            </w:r>
            <w:r>
              <w:rPr>
                <w:rFonts w:hint="eastAsia" w:ascii="仿宋" w:hAnsi="仿宋" w:eastAsia="仿宋" w:cs="仿宋"/>
                <w:color w:val="auto"/>
                <w:kern w:val="0"/>
                <w:sz w:val="21"/>
                <w:szCs w:val="21"/>
                <w:highlight w:val="none"/>
                <w:vertAlign w:val="baseline"/>
                <w:lang w:val="en-US" w:eastAsia="zh-CN" w:bidi="ar-SA"/>
              </w:rPr>
              <w:t>服务单位</w:t>
            </w:r>
            <w:r>
              <w:rPr>
                <w:rFonts w:hint="default" w:ascii="仿宋" w:hAnsi="仿宋" w:eastAsia="仿宋" w:cs="仿宋"/>
                <w:color w:val="auto"/>
                <w:kern w:val="0"/>
                <w:sz w:val="21"/>
                <w:szCs w:val="21"/>
                <w:highlight w:val="none"/>
                <w:vertAlign w:val="baseline"/>
                <w:lang w:val="en-US" w:eastAsia="zh-CN" w:bidi="ar-SA"/>
              </w:rPr>
              <w:t>负责人；</w:t>
            </w:r>
          </w:p>
          <w:p w14:paraId="1EA234D7">
            <w:pPr>
              <w:widowControl w:val="0"/>
              <w:ind w:firstLine="420" w:firstLineChars="200"/>
              <w:jc w:val="left"/>
              <w:rPr>
                <w:rFonts w:hint="eastAsia" w:ascii="Copperplate Gothic Bold" w:hAnsi="Copperplate Gothic Bold" w:eastAsia="宋体" w:cs="Times New Roman"/>
                <w:color w:val="auto"/>
                <w:kern w:val="2"/>
                <w:sz w:val="28"/>
                <w:szCs w:val="24"/>
                <w:highlight w:val="none"/>
                <w:lang w:val="en-US" w:eastAsia="zh-CN" w:bidi="ar-SA"/>
              </w:rPr>
            </w:pPr>
            <w:r>
              <w:rPr>
                <w:rFonts w:hint="default" w:ascii="仿宋" w:hAnsi="仿宋" w:eastAsia="仿宋" w:cs="仿宋"/>
                <w:color w:val="auto"/>
                <w:kern w:val="0"/>
                <w:sz w:val="21"/>
                <w:szCs w:val="21"/>
                <w:highlight w:val="none"/>
                <w:vertAlign w:val="baseline"/>
                <w:lang w:val="en-US" w:eastAsia="zh-CN" w:bidi="ar-SA"/>
              </w:rPr>
              <w:t>＜70分：暂停付款，启动合同终止流程。</w:t>
            </w:r>
          </w:p>
        </w:tc>
      </w:tr>
    </w:tbl>
    <w:p w14:paraId="7D18BFAB">
      <w:pPr>
        <w:ind w:left="0" w:leftChars="0" w:firstLine="0" w:firstLineChars="0"/>
        <w:rPr>
          <w:rFonts w:hint="eastAsia"/>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5D9C6AFC">
      <w:pPr>
        <w:autoSpaceDE w:val="0"/>
        <w:autoSpaceDN w:val="0"/>
        <w:adjustRightInd w:val="0"/>
        <w:snapToGrid w:val="0"/>
        <w:spacing w:line="460" w:lineRule="exac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 xml:space="preserve">主要设备表： </w:t>
      </w:r>
    </w:p>
    <w:p w14:paraId="473D8D9B">
      <w:pPr>
        <w:autoSpaceDE w:val="0"/>
        <w:autoSpaceDN w:val="0"/>
        <w:adjustRightInd w:val="0"/>
        <w:snapToGrid w:val="0"/>
        <w:spacing w:line="460" w:lineRule="exact"/>
        <w:ind w:firstLine="400" w:firstLineChars="20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（一）曲江院区</w:t>
      </w:r>
    </w:p>
    <w:tbl>
      <w:tblPr>
        <w:tblStyle w:val="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68"/>
        <w:gridCol w:w="2972"/>
        <w:gridCol w:w="672"/>
        <w:gridCol w:w="672"/>
        <w:gridCol w:w="1930"/>
      </w:tblGrid>
      <w:tr w14:paraId="34E25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900" w:type="dxa"/>
            <w:noWrap w:val="0"/>
            <w:vAlign w:val="center"/>
          </w:tcPr>
          <w:p w14:paraId="09DC8EF7">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序号</w:t>
            </w:r>
          </w:p>
        </w:tc>
        <w:tc>
          <w:tcPr>
            <w:tcW w:w="2068" w:type="dxa"/>
            <w:noWrap w:val="0"/>
            <w:vAlign w:val="center"/>
          </w:tcPr>
          <w:p w14:paraId="33E3E853">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名  称</w:t>
            </w:r>
          </w:p>
        </w:tc>
        <w:tc>
          <w:tcPr>
            <w:tcW w:w="2972" w:type="dxa"/>
            <w:noWrap w:val="0"/>
            <w:vAlign w:val="center"/>
          </w:tcPr>
          <w:p w14:paraId="48175A0D">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型号及规格</w:t>
            </w:r>
          </w:p>
        </w:tc>
        <w:tc>
          <w:tcPr>
            <w:tcW w:w="672" w:type="dxa"/>
            <w:noWrap w:val="0"/>
            <w:vAlign w:val="center"/>
          </w:tcPr>
          <w:p w14:paraId="55C85F57">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单位</w:t>
            </w:r>
          </w:p>
        </w:tc>
        <w:tc>
          <w:tcPr>
            <w:tcW w:w="672" w:type="dxa"/>
            <w:noWrap w:val="0"/>
            <w:vAlign w:val="center"/>
          </w:tcPr>
          <w:p w14:paraId="22B06C5B">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数量</w:t>
            </w:r>
          </w:p>
        </w:tc>
        <w:tc>
          <w:tcPr>
            <w:tcW w:w="1930" w:type="dxa"/>
            <w:noWrap w:val="0"/>
            <w:vAlign w:val="center"/>
          </w:tcPr>
          <w:p w14:paraId="78D34F59">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备注</w:t>
            </w:r>
          </w:p>
        </w:tc>
      </w:tr>
      <w:tr w14:paraId="228D3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20EFE491">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2068" w:type="dxa"/>
            <w:noWrap w:val="0"/>
            <w:vAlign w:val="center"/>
          </w:tcPr>
          <w:p w14:paraId="27D95763">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燃气热水锅炉</w:t>
            </w:r>
          </w:p>
        </w:tc>
        <w:tc>
          <w:tcPr>
            <w:tcW w:w="2972" w:type="dxa"/>
            <w:noWrap w:val="0"/>
            <w:vAlign w:val="center"/>
          </w:tcPr>
          <w:p w14:paraId="2522AA29">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WNS7.0-1.0-95/70-Q配余热回收器</w:t>
            </w:r>
          </w:p>
        </w:tc>
        <w:tc>
          <w:tcPr>
            <w:tcW w:w="672" w:type="dxa"/>
            <w:noWrap w:val="0"/>
            <w:vAlign w:val="center"/>
          </w:tcPr>
          <w:p w14:paraId="69F453B8">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1EED2F76">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930" w:type="dxa"/>
            <w:noWrap w:val="0"/>
            <w:vAlign w:val="center"/>
          </w:tcPr>
          <w:p w14:paraId="065390F6">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锅炉本体采用三回程湿背式，尤尼瓦斯燃烧器</w:t>
            </w:r>
          </w:p>
        </w:tc>
      </w:tr>
      <w:tr w14:paraId="3382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7857B0D2">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2068" w:type="dxa"/>
            <w:noWrap w:val="0"/>
            <w:vAlign w:val="center"/>
          </w:tcPr>
          <w:p w14:paraId="0A5F2AF7">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燃气热水锅炉</w:t>
            </w:r>
          </w:p>
        </w:tc>
        <w:tc>
          <w:tcPr>
            <w:tcW w:w="2972" w:type="dxa"/>
            <w:noWrap w:val="0"/>
            <w:vAlign w:val="center"/>
          </w:tcPr>
          <w:p w14:paraId="132F8245">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WNS5.6-1.0-95/70-Q配余热回收器</w:t>
            </w:r>
          </w:p>
        </w:tc>
        <w:tc>
          <w:tcPr>
            <w:tcW w:w="672" w:type="dxa"/>
            <w:noWrap w:val="0"/>
            <w:vAlign w:val="center"/>
          </w:tcPr>
          <w:p w14:paraId="674ADC01">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01AE462D">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3</w:t>
            </w:r>
          </w:p>
        </w:tc>
        <w:tc>
          <w:tcPr>
            <w:tcW w:w="1930" w:type="dxa"/>
            <w:noWrap w:val="0"/>
            <w:vAlign w:val="center"/>
          </w:tcPr>
          <w:p w14:paraId="41813020">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锅炉本体采用三回程湿背式，尤尼瓦斯燃烧器</w:t>
            </w:r>
          </w:p>
        </w:tc>
      </w:tr>
      <w:tr w14:paraId="1C82B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754C8521">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3</w:t>
            </w:r>
          </w:p>
        </w:tc>
        <w:tc>
          <w:tcPr>
            <w:tcW w:w="2068" w:type="dxa"/>
            <w:noWrap w:val="0"/>
            <w:vAlign w:val="center"/>
          </w:tcPr>
          <w:p w14:paraId="428614BE">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循环水泵</w:t>
            </w:r>
          </w:p>
        </w:tc>
        <w:tc>
          <w:tcPr>
            <w:tcW w:w="2972" w:type="dxa"/>
            <w:noWrap w:val="0"/>
            <w:vAlign w:val="center"/>
          </w:tcPr>
          <w:p w14:paraId="77EE7B58">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L=212m</w:t>
            </w:r>
            <w:r>
              <w:rPr>
                <w:rFonts w:hint="eastAsia" w:ascii="方正仿宋_GB18030" w:hAnsi="方正仿宋_GB18030" w:eastAsia="方正仿宋_GB18030" w:cs="方正仿宋_GB18030"/>
                <w:sz w:val="20"/>
                <w:szCs w:val="20"/>
              </w:rPr>
              <w:t xml:space="preserve"> ³</w:t>
            </w:r>
            <w:r>
              <w:rPr>
                <w:rFonts w:hint="eastAsia" w:ascii="方正仿宋_GB18030" w:hAnsi="方正仿宋_GB18030" w:eastAsia="方正仿宋_GB18030" w:cs="方正仿宋_GB18030"/>
                <w:snapToGrid w:val="0"/>
                <w:sz w:val="20"/>
                <w:szCs w:val="20"/>
              </w:rPr>
              <w:t>/h  H=40mH２o  N=37KW</w:t>
            </w:r>
          </w:p>
        </w:tc>
        <w:tc>
          <w:tcPr>
            <w:tcW w:w="672" w:type="dxa"/>
            <w:noWrap w:val="0"/>
            <w:vAlign w:val="center"/>
          </w:tcPr>
          <w:p w14:paraId="5C341ED2">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1E133569">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3</w:t>
            </w:r>
          </w:p>
        </w:tc>
        <w:tc>
          <w:tcPr>
            <w:tcW w:w="1930" w:type="dxa"/>
            <w:noWrap w:val="0"/>
            <w:vAlign w:val="center"/>
          </w:tcPr>
          <w:p w14:paraId="47C854C7">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配减震台座</w:t>
            </w:r>
          </w:p>
        </w:tc>
      </w:tr>
      <w:tr w14:paraId="350BD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22F27CDA">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4</w:t>
            </w:r>
          </w:p>
        </w:tc>
        <w:tc>
          <w:tcPr>
            <w:tcW w:w="2068" w:type="dxa"/>
            <w:noWrap w:val="0"/>
            <w:vAlign w:val="center"/>
          </w:tcPr>
          <w:p w14:paraId="5850BA83">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循环水泵</w:t>
            </w:r>
          </w:p>
        </w:tc>
        <w:tc>
          <w:tcPr>
            <w:tcW w:w="2972" w:type="dxa"/>
            <w:noWrap w:val="0"/>
            <w:vAlign w:val="center"/>
          </w:tcPr>
          <w:p w14:paraId="2451C723">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L=264m</w:t>
            </w:r>
            <w:r>
              <w:rPr>
                <w:rFonts w:hint="eastAsia" w:ascii="方正仿宋_GB18030" w:hAnsi="方正仿宋_GB18030" w:eastAsia="方正仿宋_GB18030" w:cs="方正仿宋_GB18030"/>
                <w:sz w:val="20"/>
                <w:szCs w:val="20"/>
              </w:rPr>
              <w:t xml:space="preserve"> ³</w:t>
            </w:r>
            <w:r>
              <w:rPr>
                <w:rFonts w:hint="eastAsia" w:ascii="方正仿宋_GB18030" w:hAnsi="方正仿宋_GB18030" w:eastAsia="方正仿宋_GB18030" w:cs="方正仿宋_GB18030"/>
                <w:snapToGrid w:val="0"/>
                <w:sz w:val="20"/>
                <w:szCs w:val="20"/>
              </w:rPr>
              <w:t>/h  H=40mH２o  N=45KW</w:t>
            </w:r>
          </w:p>
        </w:tc>
        <w:tc>
          <w:tcPr>
            <w:tcW w:w="672" w:type="dxa"/>
            <w:noWrap w:val="0"/>
            <w:vAlign w:val="center"/>
          </w:tcPr>
          <w:p w14:paraId="005D3641">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15A8F5A1">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1930" w:type="dxa"/>
            <w:noWrap w:val="0"/>
            <w:vAlign w:val="center"/>
          </w:tcPr>
          <w:p w14:paraId="7F19820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一台备用</w:t>
            </w:r>
          </w:p>
          <w:p w14:paraId="45AB6E1A">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配减震台座</w:t>
            </w:r>
          </w:p>
        </w:tc>
      </w:tr>
      <w:tr w14:paraId="6FCBE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07F4DD0B">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5</w:t>
            </w:r>
          </w:p>
        </w:tc>
        <w:tc>
          <w:tcPr>
            <w:tcW w:w="2068" w:type="dxa"/>
            <w:noWrap w:val="0"/>
            <w:vAlign w:val="center"/>
          </w:tcPr>
          <w:p w14:paraId="4E489FE5">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逆流再生钠离子交换器 连续出水型</w:t>
            </w:r>
          </w:p>
        </w:tc>
        <w:tc>
          <w:tcPr>
            <w:tcW w:w="2972" w:type="dxa"/>
            <w:noWrap w:val="0"/>
            <w:vAlign w:val="center"/>
          </w:tcPr>
          <w:p w14:paraId="368BC399">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Q=30~40m</w:t>
            </w:r>
            <w:r>
              <w:rPr>
                <w:rFonts w:hint="eastAsia" w:ascii="方正仿宋_GB18030" w:hAnsi="方正仿宋_GB18030" w:eastAsia="方正仿宋_GB18030" w:cs="方正仿宋_GB18030"/>
                <w:sz w:val="20"/>
                <w:szCs w:val="20"/>
              </w:rPr>
              <w:t xml:space="preserve"> ³/h</w:t>
            </w:r>
          </w:p>
        </w:tc>
        <w:tc>
          <w:tcPr>
            <w:tcW w:w="672" w:type="dxa"/>
            <w:noWrap w:val="0"/>
            <w:vAlign w:val="center"/>
          </w:tcPr>
          <w:p w14:paraId="33E2E24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073AA3E7">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930" w:type="dxa"/>
            <w:noWrap w:val="0"/>
            <w:vAlign w:val="center"/>
          </w:tcPr>
          <w:p w14:paraId="5E9800BB">
            <w:pPr>
              <w:spacing w:line="460" w:lineRule="exact"/>
              <w:jc w:val="center"/>
              <w:rPr>
                <w:rFonts w:hint="eastAsia" w:ascii="方正仿宋_GB18030" w:hAnsi="方正仿宋_GB18030" w:eastAsia="方正仿宋_GB18030" w:cs="方正仿宋_GB18030"/>
                <w:snapToGrid w:val="0"/>
                <w:sz w:val="20"/>
                <w:szCs w:val="20"/>
              </w:rPr>
            </w:pPr>
          </w:p>
        </w:tc>
      </w:tr>
      <w:tr w14:paraId="7C27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3D79620E">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6</w:t>
            </w:r>
          </w:p>
        </w:tc>
        <w:tc>
          <w:tcPr>
            <w:tcW w:w="2068" w:type="dxa"/>
            <w:noWrap w:val="0"/>
            <w:vAlign w:val="center"/>
          </w:tcPr>
          <w:p w14:paraId="6249F620">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方形隔板水箱</w:t>
            </w:r>
          </w:p>
        </w:tc>
        <w:tc>
          <w:tcPr>
            <w:tcW w:w="2972" w:type="dxa"/>
            <w:noWrap w:val="0"/>
            <w:vAlign w:val="center"/>
          </w:tcPr>
          <w:p w14:paraId="6B337FE9">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V=25m</w:t>
            </w:r>
            <w:r>
              <w:rPr>
                <w:rFonts w:hint="eastAsia" w:ascii="方正仿宋_GB18030" w:hAnsi="方正仿宋_GB18030" w:eastAsia="方正仿宋_GB18030" w:cs="方正仿宋_GB18030"/>
                <w:sz w:val="20"/>
                <w:szCs w:val="20"/>
              </w:rPr>
              <w:t xml:space="preserve"> ³4600×3000×2000(H)</w:t>
            </w:r>
          </w:p>
        </w:tc>
        <w:tc>
          <w:tcPr>
            <w:tcW w:w="672" w:type="dxa"/>
            <w:noWrap w:val="0"/>
            <w:vAlign w:val="center"/>
          </w:tcPr>
          <w:p w14:paraId="68858F71">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4B25CE6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930" w:type="dxa"/>
            <w:noWrap w:val="0"/>
            <w:vAlign w:val="center"/>
          </w:tcPr>
          <w:p w14:paraId="552A3642">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不锈钢软水箱</w:t>
            </w:r>
          </w:p>
        </w:tc>
      </w:tr>
      <w:tr w14:paraId="5A8F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4E7DA1C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7</w:t>
            </w:r>
          </w:p>
        </w:tc>
        <w:tc>
          <w:tcPr>
            <w:tcW w:w="2068" w:type="dxa"/>
            <w:noWrap w:val="0"/>
            <w:vAlign w:val="center"/>
          </w:tcPr>
          <w:p w14:paraId="435F21AD">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除氧水泵</w:t>
            </w:r>
          </w:p>
        </w:tc>
        <w:tc>
          <w:tcPr>
            <w:tcW w:w="2972" w:type="dxa"/>
            <w:noWrap w:val="0"/>
            <w:vAlign w:val="center"/>
          </w:tcPr>
          <w:p w14:paraId="65BC00B0">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80-65-160 L=51m</w:t>
            </w:r>
            <w:r>
              <w:rPr>
                <w:rFonts w:hint="eastAsia" w:ascii="方正仿宋_GB18030" w:hAnsi="方正仿宋_GB18030" w:eastAsia="方正仿宋_GB18030" w:cs="方正仿宋_GB18030"/>
                <w:sz w:val="20"/>
                <w:szCs w:val="20"/>
              </w:rPr>
              <w:t xml:space="preserve"> ³</w:t>
            </w:r>
            <w:r>
              <w:rPr>
                <w:rFonts w:hint="eastAsia" w:ascii="方正仿宋_GB18030" w:hAnsi="方正仿宋_GB18030" w:eastAsia="方正仿宋_GB18030" w:cs="方正仿宋_GB18030"/>
                <w:snapToGrid w:val="0"/>
                <w:sz w:val="20"/>
                <w:szCs w:val="20"/>
              </w:rPr>
              <w:t>/h  H=32mH２o  N=11KW</w:t>
            </w:r>
          </w:p>
        </w:tc>
        <w:tc>
          <w:tcPr>
            <w:tcW w:w="672" w:type="dxa"/>
            <w:noWrap w:val="0"/>
            <w:vAlign w:val="center"/>
          </w:tcPr>
          <w:p w14:paraId="04E96E46">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4DF3C30B">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1930" w:type="dxa"/>
            <w:noWrap w:val="0"/>
            <w:vAlign w:val="center"/>
          </w:tcPr>
          <w:p w14:paraId="38C9BB34">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一台备用</w:t>
            </w:r>
          </w:p>
          <w:p w14:paraId="653F084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威乐</w:t>
            </w:r>
          </w:p>
        </w:tc>
      </w:tr>
      <w:tr w14:paraId="4B94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7013D526">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8</w:t>
            </w:r>
          </w:p>
        </w:tc>
        <w:tc>
          <w:tcPr>
            <w:tcW w:w="2068" w:type="dxa"/>
            <w:noWrap w:val="0"/>
            <w:vAlign w:val="center"/>
          </w:tcPr>
          <w:p w14:paraId="5B3980B7">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常温过滤式除氧器</w:t>
            </w:r>
          </w:p>
        </w:tc>
        <w:tc>
          <w:tcPr>
            <w:tcW w:w="2972" w:type="dxa"/>
            <w:noWrap w:val="0"/>
            <w:vAlign w:val="center"/>
          </w:tcPr>
          <w:p w14:paraId="61D44AF1">
            <w:pPr>
              <w:spacing w:line="460" w:lineRule="exac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napToGrid w:val="0"/>
                <w:sz w:val="20"/>
                <w:szCs w:val="20"/>
              </w:rPr>
              <w:t>YHC40  L=30~40m</w:t>
            </w:r>
            <w:r>
              <w:rPr>
                <w:rFonts w:hint="eastAsia" w:ascii="方正仿宋_GB18030" w:hAnsi="方正仿宋_GB18030" w:eastAsia="方正仿宋_GB18030" w:cs="方正仿宋_GB18030"/>
                <w:sz w:val="20"/>
                <w:szCs w:val="20"/>
              </w:rPr>
              <w:t xml:space="preserve"> ³/h</w:t>
            </w:r>
          </w:p>
          <w:p w14:paraId="79236CF7">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z w:val="20"/>
                <w:szCs w:val="20"/>
              </w:rPr>
              <w:t>N=600W</w:t>
            </w:r>
          </w:p>
        </w:tc>
        <w:tc>
          <w:tcPr>
            <w:tcW w:w="672" w:type="dxa"/>
            <w:noWrap w:val="0"/>
            <w:vAlign w:val="center"/>
          </w:tcPr>
          <w:p w14:paraId="0F17BD8E">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3EE9E045">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930" w:type="dxa"/>
            <w:noWrap w:val="0"/>
            <w:vAlign w:val="center"/>
          </w:tcPr>
          <w:p w14:paraId="629CFDBA">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自动控制</w:t>
            </w:r>
          </w:p>
        </w:tc>
      </w:tr>
      <w:tr w14:paraId="5CAF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68C909D4">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9</w:t>
            </w:r>
          </w:p>
        </w:tc>
        <w:tc>
          <w:tcPr>
            <w:tcW w:w="2068" w:type="dxa"/>
            <w:noWrap w:val="0"/>
            <w:vAlign w:val="center"/>
          </w:tcPr>
          <w:p w14:paraId="0B914871">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方形水箱</w:t>
            </w:r>
          </w:p>
        </w:tc>
        <w:tc>
          <w:tcPr>
            <w:tcW w:w="2972" w:type="dxa"/>
            <w:noWrap w:val="0"/>
            <w:vAlign w:val="center"/>
          </w:tcPr>
          <w:p w14:paraId="287B0FC2">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V=15m</w:t>
            </w:r>
            <w:r>
              <w:rPr>
                <w:rFonts w:hint="eastAsia" w:ascii="方正仿宋_GB18030" w:hAnsi="方正仿宋_GB18030" w:eastAsia="方正仿宋_GB18030" w:cs="方正仿宋_GB18030"/>
                <w:sz w:val="20"/>
                <w:szCs w:val="20"/>
              </w:rPr>
              <w:t xml:space="preserve"> ³3600×2400×2000(H)</w:t>
            </w:r>
          </w:p>
        </w:tc>
        <w:tc>
          <w:tcPr>
            <w:tcW w:w="672" w:type="dxa"/>
            <w:noWrap w:val="0"/>
            <w:vAlign w:val="center"/>
          </w:tcPr>
          <w:p w14:paraId="485AFFF7">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40D4A109">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930" w:type="dxa"/>
            <w:noWrap w:val="0"/>
            <w:vAlign w:val="center"/>
          </w:tcPr>
          <w:p w14:paraId="05BA1A38">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除氧水箱</w:t>
            </w:r>
          </w:p>
        </w:tc>
      </w:tr>
      <w:tr w14:paraId="3F8C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028A9E7B">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10</w:t>
            </w:r>
          </w:p>
        </w:tc>
        <w:tc>
          <w:tcPr>
            <w:tcW w:w="2068" w:type="dxa"/>
            <w:noWrap w:val="0"/>
            <w:vAlign w:val="center"/>
          </w:tcPr>
          <w:p w14:paraId="519D2615">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补水泵</w:t>
            </w:r>
          </w:p>
        </w:tc>
        <w:tc>
          <w:tcPr>
            <w:tcW w:w="2972" w:type="dxa"/>
            <w:noWrap w:val="0"/>
            <w:vAlign w:val="center"/>
          </w:tcPr>
          <w:p w14:paraId="2BBDAE98">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65-40-200  L=34m</w:t>
            </w:r>
            <w:r>
              <w:rPr>
                <w:rFonts w:hint="eastAsia" w:ascii="方正仿宋_GB18030" w:hAnsi="方正仿宋_GB18030" w:eastAsia="方正仿宋_GB18030" w:cs="方正仿宋_GB18030"/>
                <w:sz w:val="20"/>
                <w:szCs w:val="20"/>
              </w:rPr>
              <w:t xml:space="preserve"> ³</w:t>
            </w:r>
            <w:r>
              <w:rPr>
                <w:rFonts w:hint="eastAsia" w:ascii="方正仿宋_GB18030" w:hAnsi="方正仿宋_GB18030" w:eastAsia="方正仿宋_GB18030" w:cs="方正仿宋_GB18030"/>
                <w:snapToGrid w:val="0"/>
                <w:sz w:val="20"/>
                <w:szCs w:val="20"/>
              </w:rPr>
              <w:t>/h  H=51mH２o  N=11KW</w:t>
            </w:r>
          </w:p>
        </w:tc>
        <w:tc>
          <w:tcPr>
            <w:tcW w:w="672" w:type="dxa"/>
            <w:noWrap w:val="0"/>
            <w:vAlign w:val="center"/>
          </w:tcPr>
          <w:p w14:paraId="17BC017E">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42F703D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1930" w:type="dxa"/>
            <w:noWrap w:val="0"/>
            <w:vAlign w:val="center"/>
          </w:tcPr>
          <w:p w14:paraId="34A45E58">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威乐一台备用</w:t>
            </w:r>
          </w:p>
          <w:p w14:paraId="11FD9254">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变频控制</w:t>
            </w:r>
          </w:p>
        </w:tc>
      </w:tr>
      <w:tr w14:paraId="29CA2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3AF0AD16">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11</w:t>
            </w:r>
          </w:p>
        </w:tc>
        <w:tc>
          <w:tcPr>
            <w:tcW w:w="2068" w:type="dxa"/>
            <w:noWrap w:val="0"/>
            <w:vAlign w:val="center"/>
          </w:tcPr>
          <w:p w14:paraId="1DAD6AE6">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自动反冲洗排污过滤器</w:t>
            </w:r>
          </w:p>
        </w:tc>
        <w:tc>
          <w:tcPr>
            <w:tcW w:w="2972" w:type="dxa"/>
            <w:noWrap w:val="0"/>
            <w:vAlign w:val="center"/>
          </w:tcPr>
          <w:p w14:paraId="4CD29FE5">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ZSH-1-400   DN400  Pg=1.6Mpa</w:t>
            </w:r>
          </w:p>
        </w:tc>
        <w:tc>
          <w:tcPr>
            <w:tcW w:w="672" w:type="dxa"/>
            <w:noWrap w:val="0"/>
            <w:vAlign w:val="center"/>
          </w:tcPr>
          <w:p w14:paraId="7A8D705E">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41720B20">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930" w:type="dxa"/>
            <w:noWrap w:val="0"/>
            <w:vAlign w:val="center"/>
          </w:tcPr>
          <w:p w14:paraId="7043AFB7">
            <w:pPr>
              <w:spacing w:line="460" w:lineRule="exact"/>
              <w:jc w:val="center"/>
              <w:rPr>
                <w:rFonts w:hint="eastAsia" w:ascii="方正仿宋_GB18030" w:hAnsi="方正仿宋_GB18030" w:eastAsia="方正仿宋_GB18030" w:cs="方正仿宋_GB18030"/>
                <w:snapToGrid w:val="0"/>
                <w:sz w:val="20"/>
                <w:szCs w:val="20"/>
              </w:rPr>
            </w:pPr>
          </w:p>
        </w:tc>
      </w:tr>
      <w:tr w14:paraId="5BD3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40D87148">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12</w:t>
            </w:r>
          </w:p>
        </w:tc>
        <w:tc>
          <w:tcPr>
            <w:tcW w:w="2068" w:type="dxa"/>
            <w:noWrap w:val="0"/>
            <w:vAlign w:val="center"/>
          </w:tcPr>
          <w:p w14:paraId="48707149">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分、集水缸</w:t>
            </w:r>
          </w:p>
        </w:tc>
        <w:tc>
          <w:tcPr>
            <w:tcW w:w="2972" w:type="dxa"/>
            <w:noWrap w:val="0"/>
            <w:vAlign w:val="center"/>
          </w:tcPr>
          <w:p w14:paraId="1F8F41A6">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 xml:space="preserve">￠1000  L=3100mm  </w:t>
            </w:r>
          </w:p>
          <w:p w14:paraId="08184660">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δ=9mm  Pg=1.6Mpa</w:t>
            </w:r>
          </w:p>
        </w:tc>
        <w:tc>
          <w:tcPr>
            <w:tcW w:w="672" w:type="dxa"/>
            <w:noWrap w:val="0"/>
            <w:vAlign w:val="center"/>
          </w:tcPr>
          <w:p w14:paraId="2A28023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4DF5A819">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各1</w:t>
            </w:r>
          </w:p>
        </w:tc>
        <w:tc>
          <w:tcPr>
            <w:tcW w:w="1930" w:type="dxa"/>
            <w:noWrap w:val="0"/>
            <w:vAlign w:val="center"/>
          </w:tcPr>
          <w:p w14:paraId="5215A2C5">
            <w:pPr>
              <w:spacing w:line="460" w:lineRule="exact"/>
              <w:jc w:val="center"/>
              <w:rPr>
                <w:rFonts w:hint="eastAsia" w:ascii="方正仿宋_GB18030" w:hAnsi="方正仿宋_GB18030" w:eastAsia="方正仿宋_GB18030" w:cs="方正仿宋_GB18030"/>
                <w:snapToGrid w:val="0"/>
                <w:sz w:val="20"/>
                <w:szCs w:val="20"/>
              </w:rPr>
            </w:pPr>
          </w:p>
        </w:tc>
      </w:tr>
      <w:tr w14:paraId="22A8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4072233E">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13</w:t>
            </w:r>
          </w:p>
        </w:tc>
        <w:tc>
          <w:tcPr>
            <w:tcW w:w="2068" w:type="dxa"/>
            <w:noWrap w:val="0"/>
            <w:vAlign w:val="center"/>
          </w:tcPr>
          <w:p w14:paraId="32743611">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应力式涡流流量传感器</w:t>
            </w:r>
          </w:p>
        </w:tc>
        <w:tc>
          <w:tcPr>
            <w:tcW w:w="2972" w:type="dxa"/>
            <w:noWrap w:val="0"/>
            <w:vAlign w:val="center"/>
          </w:tcPr>
          <w:p w14:paraId="3C92FEB9">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 xml:space="preserve">DN200 </w:t>
            </w:r>
          </w:p>
          <w:p w14:paraId="62EED0FD">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DN250</w:t>
            </w:r>
          </w:p>
        </w:tc>
        <w:tc>
          <w:tcPr>
            <w:tcW w:w="672" w:type="dxa"/>
            <w:noWrap w:val="0"/>
            <w:vAlign w:val="center"/>
          </w:tcPr>
          <w:p w14:paraId="338B97D5">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套</w:t>
            </w:r>
          </w:p>
        </w:tc>
        <w:tc>
          <w:tcPr>
            <w:tcW w:w="672" w:type="dxa"/>
            <w:noWrap w:val="0"/>
            <w:vAlign w:val="center"/>
          </w:tcPr>
          <w:p w14:paraId="7B98E329">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4</w:t>
            </w:r>
          </w:p>
        </w:tc>
        <w:tc>
          <w:tcPr>
            <w:tcW w:w="1930" w:type="dxa"/>
            <w:noWrap w:val="0"/>
            <w:vAlign w:val="center"/>
          </w:tcPr>
          <w:p w14:paraId="4AEEF062">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热水型  配仪表</w:t>
            </w:r>
          </w:p>
        </w:tc>
      </w:tr>
      <w:tr w14:paraId="5533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709129B7">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14</w:t>
            </w:r>
          </w:p>
        </w:tc>
        <w:tc>
          <w:tcPr>
            <w:tcW w:w="2068" w:type="dxa"/>
            <w:noWrap w:val="0"/>
            <w:vAlign w:val="center"/>
          </w:tcPr>
          <w:p w14:paraId="4785F029">
            <w:pPr>
              <w:spacing w:line="460" w:lineRule="exact"/>
              <w:rPr>
                <w:rFonts w:hint="eastAsia" w:ascii="方正仿宋_GB18030" w:hAnsi="方正仿宋_GB18030" w:eastAsia="方正仿宋_GB18030" w:cs="方正仿宋_GB18030"/>
                <w:snapToGrid w:val="0"/>
                <w:spacing w:val="-14"/>
                <w:sz w:val="20"/>
                <w:szCs w:val="20"/>
              </w:rPr>
            </w:pPr>
            <w:r>
              <w:rPr>
                <w:rFonts w:hint="eastAsia" w:ascii="方正仿宋_GB18030" w:hAnsi="方正仿宋_GB18030" w:eastAsia="方正仿宋_GB18030" w:cs="方正仿宋_GB18030"/>
                <w:snapToGrid w:val="0"/>
                <w:sz w:val="20"/>
                <w:szCs w:val="20"/>
              </w:rPr>
              <w:t>壁式轴流风机</w:t>
            </w:r>
          </w:p>
        </w:tc>
        <w:tc>
          <w:tcPr>
            <w:tcW w:w="2972" w:type="dxa"/>
            <w:noWrap w:val="0"/>
            <w:vAlign w:val="center"/>
          </w:tcPr>
          <w:p w14:paraId="409485C4">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SWT-5  L=7127m</w:t>
            </w:r>
            <w:r>
              <w:rPr>
                <w:rFonts w:hint="eastAsia" w:ascii="方正仿宋_GB18030" w:hAnsi="方正仿宋_GB18030" w:eastAsia="方正仿宋_GB18030" w:cs="方正仿宋_GB18030"/>
                <w:sz w:val="20"/>
                <w:szCs w:val="20"/>
              </w:rPr>
              <w:t xml:space="preserve"> ³</w:t>
            </w:r>
            <w:r>
              <w:rPr>
                <w:rFonts w:hint="eastAsia" w:ascii="方正仿宋_GB18030" w:hAnsi="方正仿宋_GB18030" w:eastAsia="方正仿宋_GB18030" w:cs="方正仿宋_GB18030"/>
                <w:snapToGrid w:val="0"/>
                <w:sz w:val="20"/>
                <w:szCs w:val="20"/>
              </w:rPr>
              <w:t>/h  H=154pa   N=0.55KW</w:t>
            </w:r>
          </w:p>
        </w:tc>
        <w:tc>
          <w:tcPr>
            <w:tcW w:w="672" w:type="dxa"/>
            <w:noWrap w:val="0"/>
            <w:vAlign w:val="center"/>
          </w:tcPr>
          <w:p w14:paraId="66C95E1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59FB4790">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5</w:t>
            </w:r>
          </w:p>
        </w:tc>
        <w:tc>
          <w:tcPr>
            <w:tcW w:w="1930" w:type="dxa"/>
            <w:noWrap w:val="0"/>
            <w:vAlign w:val="center"/>
          </w:tcPr>
          <w:p w14:paraId="33F20A78">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防爆型  Ws=0.06</w:t>
            </w:r>
            <w:r>
              <w:rPr>
                <w:rFonts w:hint="eastAsia" w:ascii="方正仿宋_GB18030" w:hAnsi="方正仿宋_GB18030" w:eastAsia="方正仿宋_GB18030" w:cs="方正仿宋_GB18030"/>
                <w:sz w:val="20"/>
                <w:szCs w:val="20"/>
              </w:rPr>
              <w:t xml:space="preserve"> </w:t>
            </w:r>
            <w:r>
              <w:rPr>
                <w:rFonts w:hint="eastAsia" w:ascii="方正仿宋_GB18030" w:hAnsi="方正仿宋_GB18030" w:eastAsia="方正仿宋_GB18030" w:cs="方正仿宋_GB18030"/>
                <w:snapToGrid w:val="0"/>
                <w:sz w:val="20"/>
                <w:szCs w:val="20"/>
              </w:rPr>
              <w:t>&lt;0.32</w:t>
            </w:r>
          </w:p>
        </w:tc>
      </w:tr>
      <w:tr w14:paraId="7077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3EC2483E">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15</w:t>
            </w:r>
          </w:p>
        </w:tc>
        <w:tc>
          <w:tcPr>
            <w:tcW w:w="2068" w:type="dxa"/>
            <w:noWrap w:val="0"/>
            <w:vAlign w:val="center"/>
          </w:tcPr>
          <w:p w14:paraId="474D73A7">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燃气蒸汽锅炉</w:t>
            </w:r>
          </w:p>
        </w:tc>
        <w:tc>
          <w:tcPr>
            <w:tcW w:w="2972" w:type="dxa"/>
            <w:noWrap w:val="0"/>
            <w:vAlign w:val="center"/>
          </w:tcPr>
          <w:p w14:paraId="665D04FD">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 xml:space="preserve">WNS0.5-1.0-Q  </w:t>
            </w:r>
          </w:p>
        </w:tc>
        <w:tc>
          <w:tcPr>
            <w:tcW w:w="672" w:type="dxa"/>
            <w:noWrap w:val="0"/>
            <w:vAlign w:val="center"/>
          </w:tcPr>
          <w:p w14:paraId="23B3B32A">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1BB568ED">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1930" w:type="dxa"/>
            <w:noWrap w:val="0"/>
            <w:vAlign w:val="center"/>
          </w:tcPr>
          <w:p w14:paraId="6D5A8171">
            <w:pPr>
              <w:spacing w:line="460" w:lineRule="exact"/>
              <w:jc w:val="center"/>
              <w:rPr>
                <w:rFonts w:hint="eastAsia" w:ascii="方正仿宋_GB18030" w:hAnsi="方正仿宋_GB18030" w:eastAsia="方正仿宋_GB18030" w:cs="方正仿宋_GB18030"/>
                <w:snapToGrid w:val="0"/>
                <w:color w:val="0000FF"/>
                <w:sz w:val="20"/>
                <w:szCs w:val="20"/>
                <w:shd w:val="pct10" w:color="auto" w:fill="FFFFFF"/>
              </w:rPr>
            </w:pPr>
          </w:p>
        </w:tc>
      </w:tr>
      <w:tr w14:paraId="1630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5EB011A1">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16</w:t>
            </w:r>
          </w:p>
        </w:tc>
        <w:tc>
          <w:tcPr>
            <w:tcW w:w="2068" w:type="dxa"/>
            <w:noWrap w:val="0"/>
            <w:vAlign w:val="center"/>
          </w:tcPr>
          <w:p w14:paraId="707C3D71">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逆流再生钠离子交换器  连续出水型</w:t>
            </w:r>
          </w:p>
        </w:tc>
        <w:tc>
          <w:tcPr>
            <w:tcW w:w="2972" w:type="dxa"/>
            <w:noWrap w:val="0"/>
            <w:vAlign w:val="center"/>
          </w:tcPr>
          <w:p w14:paraId="44EF823D">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Q=1.6~2.2m</w:t>
            </w:r>
            <w:r>
              <w:rPr>
                <w:rFonts w:hint="eastAsia" w:ascii="方正仿宋_GB18030" w:hAnsi="方正仿宋_GB18030" w:eastAsia="方正仿宋_GB18030" w:cs="方正仿宋_GB18030"/>
                <w:sz w:val="20"/>
                <w:szCs w:val="20"/>
              </w:rPr>
              <w:t xml:space="preserve"> ³/h</w:t>
            </w:r>
          </w:p>
        </w:tc>
        <w:tc>
          <w:tcPr>
            <w:tcW w:w="672" w:type="dxa"/>
            <w:noWrap w:val="0"/>
            <w:vAlign w:val="center"/>
          </w:tcPr>
          <w:p w14:paraId="672E73CC">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25A94D7D">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930" w:type="dxa"/>
            <w:noWrap w:val="0"/>
            <w:vAlign w:val="center"/>
          </w:tcPr>
          <w:p w14:paraId="7C2B7235">
            <w:pPr>
              <w:spacing w:line="460" w:lineRule="exact"/>
              <w:jc w:val="center"/>
              <w:rPr>
                <w:rFonts w:hint="eastAsia" w:ascii="方正仿宋_GB18030" w:hAnsi="方正仿宋_GB18030" w:eastAsia="方正仿宋_GB18030" w:cs="方正仿宋_GB18030"/>
                <w:snapToGrid w:val="0"/>
                <w:sz w:val="20"/>
                <w:szCs w:val="20"/>
              </w:rPr>
            </w:pPr>
          </w:p>
        </w:tc>
      </w:tr>
      <w:tr w14:paraId="52E1B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67C7AF93">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17</w:t>
            </w:r>
          </w:p>
        </w:tc>
        <w:tc>
          <w:tcPr>
            <w:tcW w:w="2068" w:type="dxa"/>
            <w:noWrap w:val="0"/>
            <w:vAlign w:val="center"/>
          </w:tcPr>
          <w:p w14:paraId="3B130CB8">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方形水箱</w:t>
            </w:r>
          </w:p>
        </w:tc>
        <w:tc>
          <w:tcPr>
            <w:tcW w:w="2972" w:type="dxa"/>
            <w:noWrap w:val="0"/>
            <w:vAlign w:val="center"/>
          </w:tcPr>
          <w:p w14:paraId="1307AA6B">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V=1m</w:t>
            </w:r>
            <w:r>
              <w:rPr>
                <w:rFonts w:hint="eastAsia" w:ascii="方正仿宋_GB18030" w:hAnsi="方正仿宋_GB18030" w:eastAsia="方正仿宋_GB18030" w:cs="方正仿宋_GB18030"/>
                <w:sz w:val="20"/>
                <w:szCs w:val="20"/>
              </w:rPr>
              <w:t xml:space="preserve"> ³1400×900×1100(H)</w:t>
            </w:r>
          </w:p>
        </w:tc>
        <w:tc>
          <w:tcPr>
            <w:tcW w:w="672" w:type="dxa"/>
            <w:noWrap w:val="0"/>
            <w:vAlign w:val="center"/>
          </w:tcPr>
          <w:p w14:paraId="04DE6DAC">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53C98CD4">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930" w:type="dxa"/>
            <w:noWrap w:val="0"/>
            <w:vAlign w:val="center"/>
          </w:tcPr>
          <w:p w14:paraId="1A46F70B">
            <w:pPr>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不锈钢</w:t>
            </w:r>
          </w:p>
        </w:tc>
      </w:tr>
      <w:tr w14:paraId="1678F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37E4D167">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18</w:t>
            </w:r>
          </w:p>
        </w:tc>
        <w:tc>
          <w:tcPr>
            <w:tcW w:w="2068" w:type="dxa"/>
            <w:noWrap w:val="0"/>
            <w:vAlign w:val="center"/>
          </w:tcPr>
          <w:p w14:paraId="081450E3">
            <w:pPr>
              <w:spacing w:line="460" w:lineRule="exact"/>
              <w:rPr>
                <w:rFonts w:hint="eastAsia" w:ascii="方正仿宋_GB18030" w:hAnsi="方正仿宋_GB18030" w:eastAsia="方正仿宋_GB18030" w:cs="方正仿宋_GB18030"/>
                <w:snapToGrid w:val="0"/>
                <w:sz w:val="20"/>
                <w:szCs w:val="20"/>
                <w:vertAlign w:val="subscript"/>
              </w:rPr>
            </w:pPr>
            <w:r>
              <w:rPr>
                <w:rFonts w:hint="eastAsia" w:ascii="方正仿宋_GB18030" w:hAnsi="方正仿宋_GB18030" w:eastAsia="方正仿宋_GB18030" w:cs="方正仿宋_GB18030"/>
                <w:snapToGrid w:val="0"/>
                <w:sz w:val="20"/>
                <w:szCs w:val="20"/>
              </w:rPr>
              <w:t>给水泵</w:t>
            </w:r>
          </w:p>
        </w:tc>
        <w:tc>
          <w:tcPr>
            <w:tcW w:w="2972" w:type="dxa"/>
            <w:noWrap w:val="0"/>
            <w:vAlign w:val="center"/>
          </w:tcPr>
          <w:p w14:paraId="207653AA">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CR3-25 L=2.5m</w:t>
            </w:r>
            <w:r>
              <w:rPr>
                <w:rFonts w:hint="eastAsia" w:ascii="方正仿宋_GB18030" w:hAnsi="方正仿宋_GB18030" w:eastAsia="方正仿宋_GB18030" w:cs="方正仿宋_GB18030"/>
                <w:sz w:val="20"/>
                <w:szCs w:val="20"/>
              </w:rPr>
              <w:t xml:space="preserve"> ³</w:t>
            </w:r>
            <w:r>
              <w:rPr>
                <w:rFonts w:hint="eastAsia" w:ascii="方正仿宋_GB18030" w:hAnsi="方正仿宋_GB18030" w:eastAsia="方正仿宋_GB18030" w:cs="方正仿宋_GB18030"/>
                <w:snapToGrid w:val="0"/>
                <w:sz w:val="20"/>
                <w:szCs w:val="20"/>
              </w:rPr>
              <w:t>/h  H=130mH２o  N=2.2KW</w:t>
            </w:r>
          </w:p>
        </w:tc>
        <w:tc>
          <w:tcPr>
            <w:tcW w:w="672" w:type="dxa"/>
            <w:noWrap w:val="0"/>
            <w:vAlign w:val="center"/>
          </w:tcPr>
          <w:p w14:paraId="3B880A86">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672" w:type="dxa"/>
            <w:noWrap w:val="0"/>
            <w:vAlign w:val="center"/>
          </w:tcPr>
          <w:p w14:paraId="2FDC7483">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1930" w:type="dxa"/>
            <w:noWrap w:val="0"/>
            <w:vAlign w:val="center"/>
          </w:tcPr>
          <w:p w14:paraId="708EC452">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一台备用</w:t>
            </w:r>
          </w:p>
          <w:p w14:paraId="73DA82F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威乐</w:t>
            </w:r>
          </w:p>
        </w:tc>
      </w:tr>
      <w:tr w14:paraId="345C7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54B1EABE">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19</w:t>
            </w:r>
          </w:p>
        </w:tc>
        <w:tc>
          <w:tcPr>
            <w:tcW w:w="2068" w:type="dxa"/>
            <w:noWrap w:val="0"/>
            <w:vAlign w:val="center"/>
          </w:tcPr>
          <w:p w14:paraId="1F075999">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应力式涡流流量传感器</w:t>
            </w:r>
          </w:p>
        </w:tc>
        <w:tc>
          <w:tcPr>
            <w:tcW w:w="2972" w:type="dxa"/>
            <w:noWrap w:val="0"/>
            <w:vAlign w:val="center"/>
          </w:tcPr>
          <w:p w14:paraId="35566B32">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 xml:space="preserve">DN40 </w:t>
            </w:r>
          </w:p>
        </w:tc>
        <w:tc>
          <w:tcPr>
            <w:tcW w:w="672" w:type="dxa"/>
            <w:noWrap w:val="0"/>
            <w:vAlign w:val="center"/>
          </w:tcPr>
          <w:p w14:paraId="1FE4C6C6">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套</w:t>
            </w:r>
          </w:p>
        </w:tc>
        <w:tc>
          <w:tcPr>
            <w:tcW w:w="672" w:type="dxa"/>
            <w:noWrap w:val="0"/>
            <w:vAlign w:val="center"/>
          </w:tcPr>
          <w:p w14:paraId="154CAFED">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1930" w:type="dxa"/>
            <w:noWrap w:val="0"/>
            <w:vAlign w:val="center"/>
          </w:tcPr>
          <w:p w14:paraId="7D2E907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蒸汽型  配仪表</w:t>
            </w:r>
          </w:p>
        </w:tc>
      </w:tr>
      <w:tr w14:paraId="5AD6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49F1DE3A">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20</w:t>
            </w:r>
          </w:p>
        </w:tc>
        <w:tc>
          <w:tcPr>
            <w:tcW w:w="2068" w:type="dxa"/>
            <w:noWrap w:val="0"/>
            <w:vAlign w:val="center"/>
          </w:tcPr>
          <w:p w14:paraId="704C47A1">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锅炉房控制室</w:t>
            </w:r>
          </w:p>
        </w:tc>
        <w:tc>
          <w:tcPr>
            <w:tcW w:w="2972" w:type="dxa"/>
            <w:noWrap w:val="0"/>
            <w:vAlign w:val="center"/>
          </w:tcPr>
          <w:p w14:paraId="42F6CB7F">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锅炉、及其电气设备</w:t>
            </w:r>
          </w:p>
        </w:tc>
        <w:tc>
          <w:tcPr>
            <w:tcW w:w="672" w:type="dxa"/>
            <w:noWrap w:val="0"/>
            <w:vAlign w:val="center"/>
          </w:tcPr>
          <w:p w14:paraId="77A9BFC0">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套</w:t>
            </w:r>
          </w:p>
        </w:tc>
        <w:tc>
          <w:tcPr>
            <w:tcW w:w="672" w:type="dxa"/>
            <w:noWrap w:val="0"/>
            <w:vAlign w:val="center"/>
          </w:tcPr>
          <w:p w14:paraId="364C3E36">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5</w:t>
            </w:r>
          </w:p>
        </w:tc>
        <w:tc>
          <w:tcPr>
            <w:tcW w:w="1930" w:type="dxa"/>
            <w:noWrap w:val="0"/>
            <w:vAlign w:val="center"/>
          </w:tcPr>
          <w:p w14:paraId="270639C0">
            <w:pPr>
              <w:spacing w:line="460" w:lineRule="exact"/>
              <w:ind w:firstLine="200" w:firstLineChars="100"/>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详见技术要求</w:t>
            </w:r>
          </w:p>
        </w:tc>
      </w:tr>
      <w:tr w14:paraId="742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noWrap w:val="0"/>
            <w:vAlign w:val="center"/>
          </w:tcPr>
          <w:p w14:paraId="321684FC">
            <w:pPr>
              <w:spacing w:line="460" w:lineRule="exact"/>
              <w:jc w:val="center"/>
              <w:rPr>
                <w:rFonts w:hint="eastAsia" w:ascii="方正仿宋_GB18030" w:hAnsi="方正仿宋_GB18030" w:eastAsia="方正仿宋_GB18030" w:cs="方正仿宋_GB18030"/>
                <w:snapToGrid w:val="0"/>
                <w:sz w:val="20"/>
                <w:szCs w:val="20"/>
                <w:lang w:val="en-US" w:eastAsia="zh-CN"/>
              </w:rPr>
            </w:pPr>
            <w:r>
              <w:rPr>
                <w:rFonts w:hint="eastAsia" w:ascii="方正仿宋_GB18030" w:hAnsi="方正仿宋_GB18030" w:eastAsia="方正仿宋_GB18030" w:cs="方正仿宋_GB18030"/>
                <w:snapToGrid w:val="0"/>
                <w:sz w:val="20"/>
                <w:szCs w:val="20"/>
                <w:lang w:val="en-US" w:eastAsia="zh-CN"/>
              </w:rPr>
              <w:t>21</w:t>
            </w:r>
          </w:p>
        </w:tc>
        <w:tc>
          <w:tcPr>
            <w:tcW w:w="2068" w:type="dxa"/>
            <w:noWrap w:val="0"/>
            <w:vAlign w:val="center"/>
          </w:tcPr>
          <w:p w14:paraId="3608F9C9">
            <w:pPr>
              <w:spacing w:line="460" w:lineRule="exact"/>
              <w:rPr>
                <w:rFonts w:hint="eastAsia" w:ascii="方正仿宋_GB18030" w:hAnsi="方正仿宋_GB18030" w:eastAsia="方正仿宋_GB18030" w:cs="方正仿宋_GB18030"/>
                <w:snapToGrid w:val="0"/>
                <w:sz w:val="20"/>
                <w:szCs w:val="20"/>
                <w:lang w:val="en-US" w:eastAsia="zh-CN"/>
              </w:rPr>
            </w:pPr>
            <w:r>
              <w:rPr>
                <w:rFonts w:hint="eastAsia" w:ascii="方正仿宋_GB18030" w:hAnsi="方正仿宋_GB18030" w:eastAsia="方正仿宋_GB18030" w:cs="方正仿宋_GB18030"/>
                <w:snapToGrid w:val="0"/>
                <w:sz w:val="20"/>
                <w:szCs w:val="20"/>
                <w:lang w:val="en-US" w:eastAsia="zh-CN"/>
              </w:rPr>
              <w:t>热交换站</w:t>
            </w:r>
          </w:p>
        </w:tc>
        <w:tc>
          <w:tcPr>
            <w:tcW w:w="2972" w:type="dxa"/>
            <w:noWrap w:val="0"/>
            <w:vAlign w:val="center"/>
          </w:tcPr>
          <w:p w14:paraId="591849A5">
            <w:pPr>
              <w:spacing w:line="460" w:lineRule="exact"/>
              <w:rPr>
                <w:rFonts w:hint="eastAsia" w:ascii="方正仿宋_GB18030" w:hAnsi="方正仿宋_GB18030" w:eastAsia="方正仿宋_GB18030" w:cs="方正仿宋_GB18030"/>
                <w:snapToGrid w:val="0"/>
                <w:sz w:val="20"/>
                <w:szCs w:val="20"/>
                <w:lang w:val="en-US" w:eastAsia="zh-CN"/>
              </w:rPr>
            </w:pPr>
            <w:r>
              <w:rPr>
                <w:rFonts w:hint="eastAsia" w:ascii="方正仿宋_GB18030" w:hAnsi="方正仿宋_GB18030" w:eastAsia="方正仿宋_GB18030" w:cs="方正仿宋_GB18030"/>
                <w:snapToGrid w:val="0"/>
                <w:sz w:val="20"/>
                <w:szCs w:val="20"/>
                <w:lang w:val="en-US" w:eastAsia="zh-CN"/>
              </w:rPr>
              <w:t>站内所有设施设备</w:t>
            </w:r>
          </w:p>
        </w:tc>
        <w:tc>
          <w:tcPr>
            <w:tcW w:w="672" w:type="dxa"/>
            <w:noWrap w:val="0"/>
            <w:vAlign w:val="center"/>
          </w:tcPr>
          <w:p w14:paraId="0B2DB40B">
            <w:pPr>
              <w:spacing w:line="460" w:lineRule="exact"/>
              <w:jc w:val="center"/>
              <w:rPr>
                <w:rFonts w:hint="eastAsia" w:ascii="方正仿宋_GB18030" w:hAnsi="方正仿宋_GB18030" w:eastAsia="方正仿宋_GB18030" w:cs="方正仿宋_GB18030"/>
                <w:snapToGrid w:val="0"/>
                <w:sz w:val="20"/>
                <w:szCs w:val="20"/>
              </w:rPr>
            </w:pPr>
          </w:p>
        </w:tc>
        <w:tc>
          <w:tcPr>
            <w:tcW w:w="672" w:type="dxa"/>
            <w:noWrap w:val="0"/>
            <w:vAlign w:val="center"/>
          </w:tcPr>
          <w:p w14:paraId="3189F2D8">
            <w:pPr>
              <w:spacing w:line="460" w:lineRule="exact"/>
              <w:jc w:val="center"/>
              <w:rPr>
                <w:rFonts w:hint="eastAsia" w:ascii="方正仿宋_GB18030" w:hAnsi="方正仿宋_GB18030" w:eastAsia="方正仿宋_GB18030" w:cs="方正仿宋_GB18030"/>
                <w:snapToGrid w:val="0"/>
                <w:sz w:val="20"/>
                <w:szCs w:val="20"/>
              </w:rPr>
            </w:pPr>
          </w:p>
        </w:tc>
        <w:tc>
          <w:tcPr>
            <w:tcW w:w="1930" w:type="dxa"/>
            <w:noWrap w:val="0"/>
            <w:vAlign w:val="center"/>
          </w:tcPr>
          <w:p w14:paraId="7A7904E4">
            <w:pPr>
              <w:spacing w:line="460" w:lineRule="exact"/>
              <w:ind w:firstLine="200" w:firstLineChars="100"/>
              <w:rPr>
                <w:rFonts w:hint="eastAsia" w:ascii="方正仿宋_GB18030" w:hAnsi="方正仿宋_GB18030" w:eastAsia="方正仿宋_GB18030" w:cs="方正仿宋_GB18030"/>
                <w:snapToGrid w:val="0"/>
                <w:sz w:val="20"/>
                <w:szCs w:val="20"/>
                <w:lang w:val="en-US" w:eastAsia="zh-CN"/>
              </w:rPr>
            </w:pPr>
            <w:r>
              <w:rPr>
                <w:rFonts w:hint="eastAsia" w:ascii="方正仿宋_GB18030" w:hAnsi="方正仿宋_GB18030" w:eastAsia="方正仿宋_GB18030" w:cs="方正仿宋_GB18030"/>
                <w:snapToGrid w:val="0"/>
                <w:sz w:val="20"/>
                <w:szCs w:val="20"/>
                <w:lang w:val="en-US" w:eastAsia="zh-CN"/>
              </w:rPr>
              <w:t>以实际为准</w:t>
            </w:r>
          </w:p>
        </w:tc>
      </w:tr>
    </w:tbl>
    <w:p w14:paraId="20457FDC">
      <w:pPr>
        <w:spacing w:line="460" w:lineRule="exac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（二）后宰门院区</w:t>
      </w:r>
    </w:p>
    <w:tbl>
      <w:tblPr>
        <w:tblStyle w:val="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351"/>
        <w:gridCol w:w="2880"/>
        <w:gridCol w:w="671"/>
        <w:gridCol w:w="704"/>
        <w:gridCol w:w="1899"/>
      </w:tblGrid>
      <w:tr w14:paraId="538E7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09" w:type="dxa"/>
            <w:noWrap w:val="0"/>
            <w:vAlign w:val="center"/>
          </w:tcPr>
          <w:p w14:paraId="3EAF0B3F">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序号</w:t>
            </w:r>
          </w:p>
        </w:tc>
        <w:tc>
          <w:tcPr>
            <w:tcW w:w="2351" w:type="dxa"/>
            <w:noWrap w:val="0"/>
            <w:vAlign w:val="center"/>
          </w:tcPr>
          <w:p w14:paraId="6BCB2673">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名  称</w:t>
            </w:r>
          </w:p>
        </w:tc>
        <w:tc>
          <w:tcPr>
            <w:tcW w:w="2880" w:type="dxa"/>
            <w:noWrap w:val="0"/>
            <w:vAlign w:val="center"/>
          </w:tcPr>
          <w:p w14:paraId="21F776BA">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型号及规格</w:t>
            </w:r>
          </w:p>
        </w:tc>
        <w:tc>
          <w:tcPr>
            <w:tcW w:w="671" w:type="dxa"/>
            <w:noWrap w:val="0"/>
            <w:vAlign w:val="center"/>
          </w:tcPr>
          <w:p w14:paraId="39CE7A8F">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单位</w:t>
            </w:r>
          </w:p>
        </w:tc>
        <w:tc>
          <w:tcPr>
            <w:tcW w:w="704" w:type="dxa"/>
            <w:noWrap w:val="0"/>
            <w:vAlign w:val="center"/>
          </w:tcPr>
          <w:p w14:paraId="0240AF49">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数量</w:t>
            </w:r>
          </w:p>
        </w:tc>
        <w:tc>
          <w:tcPr>
            <w:tcW w:w="1899" w:type="dxa"/>
            <w:noWrap w:val="0"/>
            <w:vAlign w:val="center"/>
          </w:tcPr>
          <w:p w14:paraId="48AA6421">
            <w:pPr>
              <w:spacing w:line="460" w:lineRule="exact"/>
              <w:jc w:val="center"/>
              <w:rPr>
                <w:rFonts w:hint="eastAsia" w:ascii="方正仿宋_GB18030" w:hAnsi="方正仿宋_GB18030" w:eastAsia="方正仿宋_GB18030" w:cs="方正仿宋_GB18030"/>
                <w:b/>
                <w:bCs/>
                <w:snapToGrid w:val="0"/>
                <w:sz w:val="20"/>
                <w:szCs w:val="20"/>
              </w:rPr>
            </w:pPr>
            <w:r>
              <w:rPr>
                <w:rFonts w:hint="eastAsia" w:ascii="方正仿宋_GB18030" w:hAnsi="方正仿宋_GB18030" w:eastAsia="方正仿宋_GB18030" w:cs="方正仿宋_GB18030"/>
                <w:b/>
                <w:bCs/>
                <w:snapToGrid w:val="0"/>
                <w:sz w:val="20"/>
                <w:szCs w:val="20"/>
              </w:rPr>
              <w:t>备注</w:t>
            </w:r>
          </w:p>
        </w:tc>
      </w:tr>
      <w:tr w14:paraId="4BC8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noWrap w:val="0"/>
            <w:vAlign w:val="center"/>
          </w:tcPr>
          <w:p w14:paraId="3217DA17">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2351" w:type="dxa"/>
            <w:noWrap w:val="0"/>
            <w:vAlign w:val="center"/>
          </w:tcPr>
          <w:p w14:paraId="428FB5DA">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燃气热水锅炉</w:t>
            </w:r>
          </w:p>
        </w:tc>
        <w:tc>
          <w:tcPr>
            <w:tcW w:w="2880" w:type="dxa"/>
            <w:noWrap w:val="0"/>
            <w:vAlign w:val="center"/>
          </w:tcPr>
          <w:p w14:paraId="0DF21511">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RBI LB-4800</w:t>
            </w:r>
          </w:p>
        </w:tc>
        <w:tc>
          <w:tcPr>
            <w:tcW w:w="671" w:type="dxa"/>
            <w:noWrap w:val="0"/>
            <w:vAlign w:val="center"/>
          </w:tcPr>
          <w:p w14:paraId="64B4CB9D">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704" w:type="dxa"/>
            <w:noWrap w:val="0"/>
            <w:vAlign w:val="center"/>
          </w:tcPr>
          <w:p w14:paraId="49BAAD50">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899" w:type="dxa"/>
            <w:noWrap w:val="0"/>
            <w:vAlign w:val="center"/>
          </w:tcPr>
          <w:p w14:paraId="23A9A748">
            <w:pPr>
              <w:spacing w:line="460" w:lineRule="exact"/>
              <w:jc w:val="center"/>
              <w:rPr>
                <w:rFonts w:hint="eastAsia" w:ascii="方正仿宋_GB18030" w:hAnsi="方正仿宋_GB18030" w:eastAsia="方正仿宋_GB18030" w:cs="方正仿宋_GB18030"/>
                <w:snapToGrid w:val="0"/>
                <w:sz w:val="20"/>
                <w:szCs w:val="20"/>
              </w:rPr>
            </w:pPr>
          </w:p>
        </w:tc>
      </w:tr>
      <w:tr w14:paraId="785E9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noWrap w:val="0"/>
            <w:vAlign w:val="center"/>
          </w:tcPr>
          <w:p w14:paraId="5A6A4B43">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2351" w:type="dxa"/>
            <w:noWrap w:val="0"/>
            <w:vAlign w:val="center"/>
          </w:tcPr>
          <w:p w14:paraId="7F7E2BF1">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循环水泵</w:t>
            </w:r>
          </w:p>
        </w:tc>
        <w:tc>
          <w:tcPr>
            <w:tcW w:w="2880" w:type="dxa"/>
            <w:noWrap w:val="0"/>
            <w:vAlign w:val="center"/>
          </w:tcPr>
          <w:p w14:paraId="6142F2FA">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L=112m</w:t>
            </w:r>
            <w:r>
              <w:rPr>
                <w:rFonts w:hint="eastAsia" w:ascii="方正仿宋_GB18030" w:hAnsi="方正仿宋_GB18030" w:eastAsia="方正仿宋_GB18030" w:cs="方正仿宋_GB18030"/>
                <w:sz w:val="20"/>
                <w:szCs w:val="20"/>
              </w:rPr>
              <w:t xml:space="preserve"> ³</w:t>
            </w:r>
            <w:r>
              <w:rPr>
                <w:rFonts w:hint="eastAsia" w:ascii="方正仿宋_GB18030" w:hAnsi="方正仿宋_GB18030" w:eastAsia="方正仿宋_GB18030" w:cs="方正仿宋_GB18030"/>
                <w:snapToGrid w:val="0"/>
                <w:sz w:val="20"/>
                <w:szCs w:val="20"/>
              </w:rPr>
              <w:t>/h  H=40mH２o  N=27KW</w:t>
            </w:r>
          </w:p>
        </w:tc>
        <w:tc>
          <w:tcPr>
            <w:tcW w:w="671" w:type="dxa"/>
            <w:noWrap w:val="0"/>
            <w:vAlign w:val="center"/>
          </w:tcPr>
          <w:p w14:paraId="376EF4FD">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704" w:type="dxa"/>
            <w:noWrap w:val="0"/>
            <w:vAlign w:val="center"/>
          </w:tcPr>
          <w:p w14:paraId="7A8B8A4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3</w:t>
            </w:r>
          </w:p>
        </w:tc>
        <w:tc>
          <w:tcPr>
            <w:tcW w:w="1899" w:type="dxa"/>
            <w:noWrap w:val="0"/>
            <w:vAlign w:val="center"/>
          </w:tcPr>
          <w:p w14:paraId="32E75FCE">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配减震台座</w:t>
            </w:r>
          </w:p>
        </w:tc>
      </w:tr>
      <w:tr w14:paraId="0827A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noWrap w:val="0"/>
            <w:vAlign w:val="center"/>
          </w:tcPr>
          <w:p w14:paraId="7564BEB5">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3</w:t>
            </w:r>
          </w:p>
        </w:tc>
        <w:tc>
          <w:tcPr>
            <w:tcW w:w="2351" w:type="dxa"/>
            <w:noWrap w:val="0"/>
            <w:vAlign w:val="center"/>
          </w:tcPr>
          <w:p w14:paraId="66E059F4">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循环水泵</w:t>
            </w:r>
          </w:p>
        </w:tc>
        <w:tc>
          <w:tcPr>
            <w:tcW w:w="2880" w:type="dxa"/>
            <w:noWrap w:val="0"/>
            <w:vAlign w:val="center"/>
          </w:tcPr>
          <w:p w14:paraId="0B8F3407">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L=164m</w:t>
            </w:r>
            <w:r>
              <w:rPr>
                <w:rFonts w:hint="eastAsia" w:ascii="方正仿宋_GB18030" w:hAnsi="方正仿宋_GB18030" w:eastAsia="方正仿宋_GB18030" w:cs="方正仿宋_GB18030"/>
                <w:sz w:val="20"/>
                <w:szCs w:val="20"/>
              </w:rPr>
              <w:t xml:space="preserve"> ³</w:t>
            </w:r>
            <w:r>
              <w:rPr>
                <w:rFonts w:hint="eastAsia" w:ascii="方正仿宋_GB18030" w:hAnsi="方正仿宋_GB18030" w:eastAsia="方正仿宋_GB18030" w:cs="方正仿宋_GB18030"/>
                <w:snapToGrid w:val="0"/>
                <w:sz w:val="20"/>
                <w:szCs w:val="20"/>
              </w:rPr>
              <w:t>/h  H=40mH２o  N=30KW</w:t>
            </w:r>
          </w:p>
        </w:tc>
        <w:tc>
          <w:tcPr>
            <w:tcW w:w="671" w:type="dxa"/>
            <w:noWrap w:val="0"/>
            <w:vAlign w:val="center"/>
          </w:tcPr>
          <w:p w14:paraId="5D9113EB">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704" w:type="dxa"/>
            <w:noWrap w:val="0"/>
            <w:vAlign w:val="center"/>
          </w:tcPr>
          <w:p w14:paraId="22C07016">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1899" w:type="dxa"/>
            <w:noWrap w:val="0"/>
            <w:vAlign w:val="center"/>
          </w:tcPr>
          <w:p w14:paraId="436953AB">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一台备用</w:t>
            </w:r>
          </w:p>
          <w:p w14:paraId="782E64DD">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配减震台座</w:t>
            </w:r>
          </w:p>
        </w:tc>
      </w:tr>
      <w:tr w14:paraId="19B9D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noWrap w:val="0"/>
            <w:vAlign w:val="center"/>
          </w:tcPr>
          <w:p w14:paraId="42B933DA">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4</w:t>
            </w:r>
          </w:p>
        </w:tc>
        <w:tc>
          <w:tcPr>
            <w:tcW w:w="2351" w:type="dxa"/>
            <w:noWrap w:val="0"/>
            <w:vAlign w:val="center"/>
          </w:tcPr>
          <w:p w14:paraId="6CF0D6D9">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逆流再生钠离子交换器 连续出水型</w:t>
            </w:r>
          </w:p>
        </w:tc>
        <w:tc>
          <w:tcPr>
            <w:tcW w:w="2880" w:type="dxa"/>
            <w:noWrap w:val="0"/>
            <w:vAlign w:val="center"/>
          </w:tcPr>
          <w:p w14:paraId="04E1A126">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Q=8~10m</w:t>
            </w:r>
            <w:r>
              <w:rPr>
                <w:rFonts w:hint="eastAsia" w:ascii="方正仿宋_GB18030" w:hAnsi="方正仿宋_GB18030" w:eastAsia="方正仿宋_GB18030" w:cs="方正仿宋_GB18030"/>
                <w:sz w:val="20"/>
                <w:szCs w:val="20"/>
              </w:rPr>
              <w:t xml:space="preserve"> ³/h</w:t>
            </w:r>
          </w:p>
        </w:tc>
        <w:tc>
          <w:tcPr>
            <w:tcW w:w="671" w:type="dxa"/>
            <w:noWrap w:val="0"/>
            <w:vAlign w:val="center"/>
          </w:tcPr>
          <w:p w14:paraId="294A12CC">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704" w:type="dxa"/>
            <w:noWrap w:val="0"/>
            <w:vAlign w:val="center"/>
          </w:tcPr>
          <w:p w14:paraId="73E8D2E9">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899" w:type="dxa"/>
            <w:noWrap w:val="0"/>
            <w:vAlign w:val="center"/>
          </w:tcPr>
          <w:p w14:paraId="72908388">
            <w:pPr>
              <w:spacing w:line="460" w:lineRule="exact"/>
              <w:jc w:val="center"/>
              <w:rPr>
                <w:rFonts w:hint="eastAsia" w:ascii="方正仿宋_GB18030" w:hAnsi="方正仿宋_GB18030" w:eastAsia="方正仿宋_GB18030" w:cs="方正仿宋_GB18030"/>
                <w:snapToGrid w:val="0"/>
                <w:sz w:val="20"/>
                <w:szCs w:val="20"/>
              </w:rPr>
            </w:pPr>
          </w:p>
        </w:tc>
      </w:tr>
      <w:tr w14:paraId="07111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noWrap w:val="0"/>
            <w:vAlign w:val="center"/>
          </w:tcPr>
          <w:p w14:paraId="1EA9DFF2">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5</w:t>
            </w:r>
          </w:p>
        </w:tc>
        <w:tc>
          <w:tcPr>
            <w:tcW w:w="2351" w:type="dxa"/>
            <w:noWrap w:val="0"/>
            <w:vAlign w:val="center"/>
          </w:tcPr>
          <w:p w14:paraId="54FE1A92">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方形隔板水箱</w:t>
            </w:r>
          </w:p>
        </w:tc>
        <w:tc>
          <w:tcPr>
            <w:tcW w:w="2880" w:type="dxa"/>
            <w:noWrap w:val="0"/>
            <w:vAlign w:val="center"/>
          </w:tcPr>
          <w:p w14:paraId="433F1D92">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V=25m</w:t>
            </w:r>
            <w:r>
              <w:rPr>
                <w:rFonts w:hint="eastAsia" w:ascii="方正仿宋_GB18030" w:hAnsi="方正仿宋_GB18030" w:eastAsia="方正仿宋_GB18030" w:cs="方正仿宋_GB18030"/>
                <w:sz w:val="20"/>
                <w:szCs w:val="20"/>
              </w:rPr>
              <w:t xml:space="preserve"> ³4600×3000×2000(H)</w:t>
            </w:r>
          </w:p>
        </w:tc>
        <w:tc>
          <w:tcPr>
            <w:tcW w:w="671" w:type="dxa"/>
            <w:noWrap w:val="0"/>
            <w:vAlign w:val="center"/>
          </w:tcPr>
          <w:p w14:paraId="49BF6ED5">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704" w:type="dxa"/>
            <w:noWrap w:val="0"/>
            <w:vAlign w:val="center"/>
          </w:tcPr>
          <w:p w14:paraId="29A82D85">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899" w:type="dxa"/>
            <w:noWrap w:val="0"/>
            <w:vAlign w:val="center"/>
          </w:tcPr>
          <w:p w14:paraId="4AEDF1E4">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不锈钢软水箱</w:t>
            </w:r>
          </w:p>
        </w:tc>
      </w:tr>
      <w:tr w14:paraId="23004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noWrap w:val="0"/>
            <w:vAlign w:val="center"/>
          </w:tcPr>
          <w:p w14:paraId="2C0D7E07">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6</w:t>
            </w:r>
          </w:p>
        </w:tc>
        <w:tc>
          <w:tcPr>
            <w:tcW w:w="2351" w:type="dxa"/>
            <w:noWrap w:val="0"/>
            <w:vAlign w:val="center"/>
          </w:tcPr>
          <w:p w14:paraId="3F6F6D11">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补水泵</w:t>
            </w:r>
          </w:p>
        </w:tc>
        <w:tc>
          <w:tcPr>
            <w:tcW w:w="2880" w:type="dxa"/>
            <w:noWrap w:val="0"/>
            <w:vAlign w:val="center"/>
          </w:tcPr>
          <w:p w14:paraId="51352E4D">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65-40-200  L=34m</w:t>
            </w:r>
            <w:r>
              <w:rPr>
                <w:rFonts w:hint="eastAsia" w:ascii="方正仿宋_GB18030" w:hAnsi="方正仿宋_GB18030" w:eastAsia="方正仿宋_GB18030" w:cs="方正仿宋_GB18030"/>
                <w:sz w:val="20"/>
                <w:szCs w:val="20"/>
              </w:rPr>
              <w:t xml:space="preserve"> ³</w:t>
            </w:r>
            <w:r>
              <w:rPr>
                <w:rFonts w:hint="eastAsia" w:ascii="方正仿宋_GB18030" w:hAnsi="方正仿宋_GB18030" w:eastAsia="方正仿宋_GB18030" w:cs="方正仿宋_GB18030"/>
                <w:snapToGrid w:val="0"/>
                <w:sz w:val="20"/>
                <w:szCs w:val="20"/>
              </w:rPr>
              <w:t>/h  H=51mH２o  N=11KW</w:t>
            </w:r>
          </w:p>
        </w:tc>
        <w:tc>
          <w:tcPr>
            <w:tcW w:w="671" w:type="dxa"/>
            <w:noWrap w:val="0"/>
            <w:vAlign w:val="center"/>
          </w:tcPr>
          <w:p w14:paraId="3BCB6DD3">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704" w:type="dxa"/>
            <w:noWrap w:val="0"/>
            <w:vAlign w:val="center"/>
          </w:tcPr>
          <w:p w14:paraId="321E7A8D">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1899" w:type="dxa"/>
            <w:noWrap w:val="0"/>
            <w:vAlign w:val="center"/>
          </w:tcPr>
          <w:p w14:paraId="55821B1D">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威乐一台备用</w:t>
            </w:r>
          </w:p>
          <w:p w14:paraId="129C5002">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变频控制</w:t>
            </w:r>
          </w:p>
        </w:tc>
      </w:tr>
      <w:tr w14:paraId="2741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noWrap w:val="0"/>
            <w:vAlign w:val="center"/>
          </w:tcPr>
          <w:p w14:paraId="164C5DF1">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7</w:t>
            </w:r>
          </w:p>
        </w:tc>
        <w:tc>
          <w:tcPr>
            <w:tcW w:w="2351" w:type="dxa"/>
            <w:noWrap w:val="0"/>
            <w:vAlign w:val="center"/>
          </w:tcPr>
          <w:p w14:paraId="310D996F">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自动反冲洗排污过滤器</w:t>
            </w:r>
          </w:p>
        </w:tc>
        <w:tc>
          <w:tcPr>
            <w:tcW w:w="2880" w:type="dxa"/>
            <w:noWrap w:val="0"/>
            <w:vAlign w:val="center"/>
          </w:tcPr>
          <w:p w14:paraId="235133B9">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ZSH-1-400   DN200  Pg=1.6Mpa</w:t>
            </w:r>
          </w:p>
        </w:tc>
        <w:tc>
          <w:tcPr>
            <w:tcW w:w="671" w:type="dxa"/>
            <w:noWrap w:val="0"/>
            <w:vAlign w:val="center"/>
          </w:tcPr>
          <w:p w14:paraId="4E1855E2">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704" w:type="dxa"/>
            <w:noWrap w:val="0"/>
            <w:vAlign w:val="center"/>
          </w:tcPr>
          <w:p w14:paraId="7225D5A2">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w:t>
            </w:r>
          </w:p>
        </w:tc>
        <w:tc>
          <w:tcPr>
            <w:tcW w:w="1899" w:type="dxa"/>
            <w:noWrap w:val="0"/>
            <w:vAlign w:val="center"/>
          </w:tcPr>
          <w:p w14:paraId="5B2CBE96">
            <w:pPr>
              <w:spacing w:line="460" w:lineRule="exact"/>
              <w:jc w:val="center"/>
              <w:rPr>
                <w:rFonts w:hint="eastAsia" w:ascii="方正仿宋_GB18030" w:hAnsi="方正仿宋_GB18030" w:eastAsia="方正仿宋_GB18030" w:cs="方正仿宋_GB18030"/>
                <w:snapToGrid w:val="0"/>
                <w:sz w:val="20"/>
                <w:szCs w:val="20"/>
              </w:rPr>
            </w:pPr>
          </w:p>
        </w:tc>
      </w:tr>
      <w:tr w14:paraId="2A9BA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noWrap w:val="0"/>
            <w:vAlign w:val="center"/>
          </w:tcPr>
          <w:p w14:paraId="03FA78ED">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8</w:t>
            </w:r>
          </w:p>
        </w:tc>
        <w:tc>
          <w:tcPr>
            <w:tcW w:w="2351" w:type="dxa"/>
            <w:noWrap w:val="0"/>
            <w:vAlign w:val="center"/>
          </w:tcPr>
          <w:p w14:paraId="1879EBA1">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分、集水缸</w:t>
            </w:r>
          </w:p>
        </w:tc>
        <w:tc>
          <w:tcPr>
            <w:tcW w:w="2880" w:type="dxa"/>
            <w:noWrap w:val="0"/>
            <w:vAlign w:val="center"/>
          </w:tcPr>
          <w:p w14:paraId="1296D43F">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 xml:space="preserve">￠800  L=2100mm  </w:t>
            </w:r>
          </w:p>
          <w:p w14:paraId="09A23720">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δ=9mm  Pg=1.6Mpa</w:t>
            </w:r>
          </w:p>
        </w:tc>
        <w:tc>
          <w:tcPr>
            <w:tcW w:w="671" w:type="dxa"/>
            <w:noWrap w:val="0"/>
            <w:vAlign w:val="center"/>
          </w:tcPr>
          <w:p w14:paraId="6EAC015F">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704" w:type="dxa"/>
            <w:noWrap w:val="0"/>
            <w:vAlign w:val="center"/>
          </w:tcPr>
          <w:p w14:paraId="754A6424">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各1</w:t>
            </w:r>
          </w:p>
        </w:tc>
        <w:tc>
          <w:tcPr>
            <w:tcW w:w="1899" w:type="dxa"/>
            <w:noWrap w:val="0"/>
            <w:vAlign w:val="center"/>
          </w:tcPr>
          <w:p w14:paraId="24AB0523">
            <w:pPr>
              <w:spacing w:line="460" w:lineRule="exact"/>
              <w:jc w:val="center"/>
              <w:rPr>
                <w:rFonts w:hint="eastAsia" w:ascii="方正仿宋_GB18030" w:hAnsi="方正仿宋_GB18030" w:eastAsia="方正仿宋_GB18030" w:cs="方正仿宋_GB18030"/>
                <w:snapToGrid w:val="0"/>
                <w:sz w:val="20"/>
                <w:szCs w:val="20"/>
              </w:rPr>
            </w:pPr>
          </w:p>
        </w:tc>
      </w:tr>
      <w:tr w14:paraId="316BF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noWrap w:val="0"/>
            <w:vAlign w:val="center"/>
          </w:tcPr>
          <w:p w14:paraId="4D257D91">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9</w:t>
            </w:r>
          </w:p>
        </w:tc>
        <w:tc>
          <w:tcPr>
            <w:tcW w:w="2351" w:type="dxa"/>
            <w:noWrap w:val="0"/>
            <w:vAlign w:val="center"/>
          </w:tcPr>
          <w:p w14:paraId="5C8D3329">
            <w:pPr>
              <w:spacing w:line="460" w:lineRule="exact"/>
              <w:rPr>
                <w:rFonts w:hint="eastAsia" w:ascii="方正仿宋_GB18030" w:hAnsi="方正仿宋_GB18030" w:eastAsia="方正仿宋_GB18030" w:cs="方正仿宋_GB18030"/>
                <w:snapToGrid w:val="0"/>
                <w:spacing w:val="-14"/>
                <w:sz w:val="20"/>
                <w:szCs w:val="20"/>
              </w:rPr>
            </w:pPr>
            <w:r>
              <w:rPr>
                <w:rFonts w:hint="eastAsia" w:ascii="方正仿宋_GB18030" w:hAnsi="方正仿宋_GB18030" w:eastAsia="方正仿宋_GB18030" w:cs="方正仿宋_GB18030"/>
                <w:snapToGrid w:val="0"/>
                <w:sz w:val="20"/>
                <w:szCs w:val="20"/>
              </w:rPr>
              <w:t>壁式轴流风机</w:t>
            </w:r>
          </w:p>
        </w:tc>
        <w:tc>
          <w:tcPr>
            <w:tcW w:w="2880" w:type="dxa"/>
            <w:noWrap w:val="0"/>
            <w:vAlign w:val="center"/>
          </w:tcPr>
          <w:p w14:paraId="7302C276">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SWT-5  L=7127m</w:t>
            </w:r>
            <w:r>
              <w:rPr>
                <w:rFonts w:hint="eastAsia" w:ascii="方正仿宋_GB18030" w:hAnsi="方正仿宋_GB18030" w:eastAsia="方正仿宋_GB18030" w:cs="方正仿宋_GB18030"/>
                <w:sz w:val="20"/>
                <w:szCs w:val="20"/>
              </w:rPr>
              <w:t xml:space="preserve"> ³</w:t>
            </w:r>
            <w:r>
              <w:rPr>
                <w:rFonts w:hint="eastAsia" w:ascii="方正仿宋_GB18030" w:hAnsi="方正仿宋_GB18030" w:eastAsia="方正仿宋_GB18030" w:cs="方正仿宋_GB18030"/>
                <w:snapToGrid w:val="0"/>
                <w:sz w:val="20"/>
                <w:szCs w:val="20"/>
              </w:rPr>
              <w:t>/h  H=154pa   N=0.55KW</w:t>
            </w:r>
          </w:p>
        </w:tc>
        <w:tc>
          <w:tcPr>
            <w:tcW w:w="671" w:type="dxa"/>
            <w:noWrap w:val="0"/>
            <w:vAlign w:val="center"/>
          </w:tcPr>
          <w:p w14:paraId="335F7B11">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台</w:t>
            </w:r>
          </w:p>
        </w:tc>
        <w:tc>
          <w:tcPr>
            <w:tcW w:w="704" w:type="dxa"/>
            <w:noWrap w:val="0"/>
            <w:vAlign w:val="center"/>
          </w:tcPr>
          <w:p w14:paraId="1322D829">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1899" w:type="dxa"/>
            <w:noWrap w:val="0"/>
            <w:vAlign w:val="center"/>
          </w:tcPr>
          <w:p w14:paraId="600DBEF2">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防爆型  Ws=0.06</w:t>
            </w:r>
            <w:r>
              <w:rPr>
                <w:rFonts w:hint="eastAsia" w:ascii="方正仿宋_GB18030" w:hAnsi="方正仿宋_GB18030" w:eastAsia="方正仿宋_GB18030" w:cs="方正仿宋_GB18030"/>
                <w:sz w:val="20"/>
                <w:szCs w:val="20"/>
              </w:rPr>
              <w:t xml:space="preserve"> </w:t>
            </w:r>
            <w:r>
              <w:rPr>
                <w:rFonts w:hint="eastAsia" w:ascii="方正仿宋_GB18030" w:hAnsi="方正仿宋_GB18030" w:eastAsia="方正仿宋_GB18030" w:cs="方正仿宋_GB18030"/>
                <w:snapToGrid w:val="0"/>
                <w:sz w:val="20"/>
                <w:szCs w:val="20"/>
              </w:rPr>
              <w:t>&lt;0.32</w:t>
            </w:r>
          </w:p>
        </w:tc>
      </w:tr>
      <w:tr w14:paraId="4AB4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noWrap w:val="0"/>
            <w:vAlign w:val="center"/>
          </w:tcPr>
          <w:p w14:paraId="14193BC6">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10</w:t>
            </w:r>
          </w:p>
        </w:tc>
        <w:tc>
          <w:tcPr>
            <w:tcW w:w="2351" w:type="dxa"/>
            <w:noWrap w:val="0"/>
            <w:vAlign w:val="center"/>
          </w:tcPr>
          <w:p w14:paraId="5F4CC44B">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锅炉房控制室</w:t>
            </w:r>
          </w:p>
        </w:tc>
        <w:tc>
          <w:tcPr>
            <w:tcW w:w="2880" w:type="dxa"/>
            <w:noWrap w:val="0"/>
            <w:vAlign w:val="center"/>
          </w:tcPr>
          <w:p w14:paraId="23D4C3B7">
            <w:pPr>
              <w:spacing w:line="460" w:lineRule="exact"/>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锅炉、及其电气设备</w:t>
            </w:r>
          </w:p>
        </w:tc>
        <w:tc>
          <w:tcPr>
            <w:tcW w:w="671" w:type="dxa"/>
            <w:noWrap w:val="0"/>
            <w:vAlign w:val="center"/>
          </w:tcPr>
          <w:p w14:paraId="43DD972D">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套</w:t>
            </w:r>
          </w:p>
        </w:tc>
        <w:tc>
          <w:tcPr>
            <w:tcW w:w="704" w:type="dxa"/>
            <w:noWrap w:val="0"/>
            <w:vAlign w:val="center"/>
          </w:tcPr>
          <w:p w14:paraId="17FD1AA9">
            <w:pPr>
              <w:spacing w:line="460" w:lineRule="exact"/>
              <w:jc w:val="center"/>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2</w:t>
            </w:r>
          </w:p>
        </w:tc>
        <w:tc>
          <w:tcPr>
            <w:tcW w:w="1899" w:type="dxa"/>
            <w:noWrap w:val="0"/>
            <w:vAlign w:val="center"/>
          </w:tcPr>
          <w:p w14:paraId="11AFFA69">
            <w:pPr>
              <w:spacing w:line="460" w:lineRule="exact"/>
              <w:ind w:firstLine="200" w:firstLineChars="100"/>
              <w:rPr>
                <w:rFonts w:hint="eastAsia" w:ascii="方正仿宋_GB18030" w:hAnsi="方正仿宋_GB18030" w:eastAsia="方正仿宋_GB18030" w:cs="方正仿宋_GB18030"/>
                <w:snapToGrid w:val="0"/>
                <w:sz w:val="20"/>
                <w:szCs w:val="20"/>
              </w:rPr>
            </w:pPr>
            <w:r>
              <w:rPr>
                <w:rFonts w:hint="eastAsia" w:ascii="方正仿宋_GB18030" w:hAnsi="方正仿宋_GB18030" w:eastAsia="方正仿宋_GB18030" w:cs="方正仿宋_GB18030"/>
                <w:snapToGrid w:val="0"/>
                <w:sz w:val="20"/>
                <w:szCs w:val="20"/>
              </w:rPr>
              <w:t>详见技术要求</w:t>
            </w:r>
          </w:p>
        </w:tc>
      </w:tr>
    </w:tbl>
    <w:p w14:paraId="43680F00">
      <w:pPr>
        <w:autoSpaceDE w:val="0"/>
        <w:autoSpaceDN w:val="0"/>
        <w:adjustRightInd w:val="0"/>
        <w:snapToGrid w:val="0"/>
        <w:spacing w:line="460" w:lineRule="exact"/>
        <w:ind w:firstLine="400" w:firstLineChars="200"/>
        <w:rPr>
          <w:rFonts w:hint="eastAsia" w:ascii="方正仿宋_GB18030" w:hAnsi="方正仿宋_GB18030" w:eastAsia="方正仿宋_GB18030" w:cs="方正仿宋_GB18030"/>
          <w:sz w:val="20"/>
          <w:szCs w:val="20"/>
        </w:rPr>
      </w:pPr>
    </w:p>
    <w:p w14:paraId="2AA65CD4">
      <w:pPr>
        <w:autoSpaceDE w:val="0"/>
        <w:autoSpaceDN w:val="0"/>
        <w:adjustRightInd w:val="0"/>
        <w:snapToGrid w:val="0"/>
        <w:spacing w:line="460" w:lineRule="exac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（三）社会路家属院</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334"/>
        <w:gridCol w:w="2769"/>
        <w:gridCol w:w="801"/>
        <w:gridCol w:w="720"/>
        <w:gridCol w:w="1881"/>
      </w:tblGrid>
      <w:tr w14:paraId="6E9F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676A9F47">
            <w:pPr>
              <w:autoSpaceDE w:val="0"/>
              <w:autoSpaceDN w:val="0"/>
              <w:adjustRightInd w:val="0"/>
              <w:snapToGrid w:val="0"/>
              <w:spacing w:line="460" w:lineRule="exact"/>
              <w:jc w:val="center"/>
              <w:rPr>
                <w:rFonts w:hint="eastAsia" w:ascii="方正仿宋_GB18030" w:hAnsi="方正仿宋_GB18030" w:eastAsia="方正仿宋_GB18030" w:cs="方正仿宋_GB18030"/>
                <w:b/>
                <w:bCs/>
                <w:sz w:val="20"/>
                <w:szCs w:val="20"/>
              </w:rPr>
            </w:pPr>
            <w:r>
              <w:rPr>
                <w:rFonts w:hint="eastAsia" w:ascii="方正仿宋_GB18030" w:hAnsi="方正仿宋_GB18030" w:eastAsia="方正仿宋_GB18030" w:cs="方正仿宋_GB18030"/>
                <w:b/>
                <w:bCs/>
                <w:sz w:val="20"/>
                <w:szCs w:val="20"/>
              </w:rPr>
              <w:t>序号</w:t>
            </w:r>
          </w:p>
        </w:tc>
        <w:tc>
          <w:tcPr>
            <w:tcW w:w="2334" w:type="dxa"/>
            <w:noWrap w:val="0"/>
            <w:vAlign w:val="center"/>
          </w:tcPr>
          <w:p w14:paraId="62A868A5">
            <w:pPr>
              <w:autoSpaceDE w:val="0"/>
              <w:autoSpaceDN w:val="0"/>
              <w:adjustRightInd w:val="0"/>
              <w:snapToGrid w:val="0"/>
              <w:spacing w:line="460" w:lineRule="exact"/>
              <w:jc w:val="center"/>
              <w:rPr>
                <w:rFonts w:hint="eastAsia" w:ascii="方正仿宋_GB18030" w:hAnsi="方正仿宋_GB18030" w:eastAsia="方正仿宋_GB18030" w:cs="方正仿宋_GB18030"/>
                <w:b/>
                <w:bCs/>
                <w:sz w:val="20"/>
                <w:szCs w:val="20"/>
              </w:rPr>
            </w:pPr>
            <w:r>
              <w:rPr>
                <w:rFonts w:hint="eastAsia" w:ascii="方正仿宋_GB18030" w:hAnsi="方正仿宋_GB18030" w:eastAsia="方正仿宋_GB18030" w:cs="方正仿宋_GB18030"/>
                <w:b/>
                <w:bCs/>
                <w:sz w:val="20"/>
                <w:szCs w:val="20"/>
              </w:rPr>
              <w:t>名称</w:t>
            </w:r>
          </w:p>
        </w:tc>
        <w:tc>
          <w:tcPr>
            <w:tcW w:w="2769" w:type="dxa"/>
            <w:noWrap w:val="0"/>
            <w:vAlign w:val="center"/>
          </w:tcPr>
          <w:p w14:paraId="6F11575A">
            <w:pPr>
              <w:autoSpaceDE w:val="0"/>
              <w:autoSpaceDN w:val="0"/>
              <w:adjustRightInd w:val="0"/>
              <w:snapToGrid w:val="0"/>
              <w:spacing w:line="460" w:lineRule="exact"/>
              <w:jc w:val="center"/>
              <w:rPr>
                <w:rFonts w:hint="eastAsia" w:ascii="方正仿宋_GB18030" w:hAnsi="方正仿宋_GB18030" w:eastAsia="方正仿宋_GB18030" w:cs="方正仿宋_GB18030"/>
                <w:b/>
                <w:bCs/>
                <w:sz w:val="20"/>
                <w:szCs w:val="20"/>
              </w:rPr>
            </w:pPr>
            <w:r>
              <w:rPr>
                <w:rFonts w:hint="eastAsia" w:ascii="方正仿宋_GB18030" w:hAnsi="方正仿宋_GB18030" w:eastAsia="方正仿宋_GB18030" w:cs="方正仿宋_GB18030"/>
                <w:b/>
                <w:bCs/>
                <w:sz w:val="20"/>
                <w:szCs w:val="20"/>
              </w:rPr>
              <w:t>型号及规格</w:t>
            </w:r>
          </w:p>
        </w:tc>
        <w:tc>
          <w:tcPr>
            <w:tcW w:w="801" w:type="dxa"/>
            <w:noWrap w:val="0"/>
            <w:vAlign w:val="center"/>
          </w:tcPr>
          <w:p w14:paraId="2F1DAD49">
            <w:pPr>
              <w:autoSpaceDE w:val="0"/>
              <w:autoSpaceDN w:val="0"/>
              <w:adjustRightInd w:val="0"/>
              <w:snapToGrid w:val="0"/>
              <w:spacing w:line="460" w:lineRule="exact"/>
              <w:jc w:val="center"/>
              <w:rPr>
                <w:rFonts w:hint="eastAsia" w:ascii="方正仿宋_GB18030" w:hAnsi="方正仿宋_GB18030" w:eastAsia="方正仿宋_GB18030" w:cs="方正仿宋_GB18030"/>
                <w:b/>
                <w:bCs/>
                <w:sz w:val="20"/>
                <w:szCs w:val="20"/>
              </w:rPr>
            </w:pPr>
            <w:r>
              <w:rPr>
                <w:rFonts w:hint="eastAsia" w:ascii="方正仿宋_GB18030" w:hAnsi="方正仿宋_GB18030" w:eastAsia="方正仿宋_GB18030" w:cs="方正仿宋_GB18030"/>
                <w:b/>
                <w:bCs/>
                <w:sz w:val="20"/>
                <w:szCs w:val="20"/>
              </w:rPr>
              <w:t>单位</w:t>
            </w:r>
          </w:p>
        </w:tc>
        <w:tc>
          <w:tcPr>
            <w:tcW w:w="720" w:type="dxa"/>
            <w:noWrap w:val="0"/>
            <w:vAlign w:val="center"/>
          </w:tcPr>
          <w:p w14:paraId="6A3F546B">
            <w:pPr>
              <w:autoSpaceDE w:val="0"/>
              <w:autoSpaceDN w:val="0"/>
              <w:adjustRightInd w:val="0"/>
              <w:snapToGrid w:val="0"/>
              <w:spacing w:line="460" w:lineRule="exact"/>
              <w:jc w:val="center"/>
              <w:rPr>
                <w:rFonts w:hint="eastAsia" w:ascii="方正仿宋_GB18030" w:hAnsi="方正仿宋_GB18030" w:eastAsia="方正仿宋_GB18030" w:cs="方正仿宋_GB18030"/>
                <w:b/>
                <w:bCs/>
                <w:sz w:val="20"/>
                <w:szCs w:val="20"/>
              </w:rPr>
            </w:pPr>
            <w:r>
              <w:rPr>
                <w:rFonts w:hint="eastAsia" w:ascii="方正仿宋_GB18030" w:hAnsi="方正仿宋_GB18030" w:eastAsia="方正仿宋_GB18030" w:cs="方正仿宋_GB18030"/>
                <w:b/>
                <w:bCs/>
                <w:sz w:val="20"/>
                <w:szCs w:val="20"/>
              </w:rPr>
              <w:t>数量</w:t>
            </w:r>
          </w:p>
        </w:tc>
        <w:tc>
          <w:tcPr>
            <w:tcW w:w="1881" w:type="dxa"/>
            <w:noWrap w:val="0"/>
            <w:vAlign w:val="center"/>
          </w:tcPr>
          <w:p w14:paraId="0A045BAE">
            <w:pPr>
              <w:autoSpaceDE w:val="0"/>
              <w:autoSpaceDN w:val="0"/>
              <w:adjustRightInd w:val="0"/>
              <w:snapToGrid w:val="0"/>
              <w:spacing w:line="460" w:lineRule="exact"/>
              <w:jc w:val="center"/>
              <w:rPr>
                <w:rFonts w:hint="eastAsia" w:ascii="方正仿宋_GB18030" w:hAnsi="方正仿宋_GB18030" w:eastAsia="方正仿宋_GB18030" w:cs="方正仿宋_GB18030"/>
                <w:b/>
                <w:bCs/>
                <w:sz w:val="20"/>
                <w:szCs w:val="20"/>
              </w:rPr>
            </w:pPr>
            <w:r>
              <w:rPr>
                <w:rFonts w:hint="eastAsia" w:ascii="方正仿宋_GB18030" w:hAnsi="方正仿宋_GB18030" w:eastAsia="方正仿宋_GB18030" w:cs="方正仿宋_GB18030"/>
                <w:b/>
                <w:bCs/>
                <w:sz w:val="20"/>
                <w:szCs w:val="20"/>
              </w:rPr>
              <w:t>备注</w:t>
            </w:r>
          </w:p>
        </w:tc>
      </w:tr>
      <w:tr w14:paraId="49788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0261ACBD">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w:t>
            </w:r>
          </w:p>
        </w:tc>
        <w:tc>
          <w:tcPr>
            <w:tcW w:w="2334" w:type="dxa"/>
            <w:noWrap w:val="0"/>
            <w:vAlign w:val="center"/>
          </w:tcPr>
          <w:p w14:paraId="3BD3F535">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燃气热水锅炉</w:t>
            </w:r>
          </w:p>
        </w:tc>
        <w:tc>
          <w:tcPr>
            <w:tcW w:w="2769" w:type="dxa"/>
            <w:noWrap w:val="0"/>
            <w:vAlign w:val="center"/>
          </w:tcPr>
          <w:p w14:paraId="647A70DC">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RBI LB-1200</w:t>
            </w:r>
          </w:p>
        </w:tc>
        <w:tc>
          <w:tcPr>
            <w:tcW w:w="801" w:type="dxa"/>
            <w:noWrap w:val="0"/>
            <w:vAlign w:val="center"/>
          </w:tcPr>
          <w:p w14:paraId="3E00439A">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台</w:t>
            </w:r>
          </w:p>
        </w:tc>
        <w:tc>
          <w:tcPr>
            <w:tcW w:w="720" w:type="dxa"/>
            <w:noWrap w:val="0"/>
            <w:vAlign w:val="center"/>
          </w:tcPr>
          <w:p w14:paraId="2DEB1CC0">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3</w:t>
            </w:r>
          </w:p>
        </w:tc>
        <w:tc>
          <w:tcPr>
            <w:tcW w:w="1881" w:type="dxa"/>
            <w:noWrap w:val="0"/>
            <w:vAlign w:val="center"/>
          </w:tcPr>
          <w:p w14:paraId="000A4E22">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p>
        </w:tc>
      </w:tr>
      <w:tr w14:paraId="2AE5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5D3EB00B">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2</w:t>
            </w:r>
          </w:p>
        </w:tc>
        <w:tc>
          <w:tcPr>
            <w:tcW w:w="2334" w:type="dxa"/>
            <w:noWrap w:val="0"/>
            <w:vAlign w:val="center"/>
          </w:tcPr>
          <w:p w14:paraId="68E2572F">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循环水泵</w:t>
            </w:r>
          </w:p>
        </w:tc>
        <w:tc>
          <w:tcPr>
            <w:tcW w:w="2769" w:type="dxa"/>
            <w:noWrap w:val="0"/>
            <w:vAlign w:val="center"/>
          </w:tcPr>
          <w:p w14:paraId="39F11053">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格兰富</w:t>
            </w:r>
          </w:p>
        </w:tc>
        <w:tc>
          <w:tcPr>
            <w:tcW w:w="801" w:type="dxa"/>
            <w:noWrap w:val="0"/>
            <w:vAlign w:val="center"/>
          </w:tcPr>
          <w:p w14:paraId="5CD726D2">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台</w:t>
            </w:r>
          </w:p>
        </w:tc>
        <w:tc>
          <w:tcPr>
            <w:tcW w:w="720" w:type="dxa"/>
            <w:noWrap w:val="0"/>
            <w:vAlign w:val="center"/>
          </w:tcPr>
          <w:p w14:paraId="071D61B6">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2</w:t>
            </w:r>
          </w:p>
        </w:tc>
        <w:tc>
          <w:tcPr>
            <w:tcW w:w="1881" w:type="dxa"/>
            <w:noWrap w:val="0"/>
            <w:vAlign w:val="center"/>
          </w:tcPr>
          <w:p w14:paraId="0E5B42C4">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p>
        </w:tc>
      </w:tr>
      <w:tr w14:paraId="3992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5D303152">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3</w:t>
            </w:r>
          </w:p>
        </w:tc>
        <w:tc>
          <w:tcPr>
            <w:tcW w:w="2334" w:type="dxa"/>
            <w:noWrap w:val="0"/>
            <w:vAlign w:val="center"/>
          </w:tcPr>
          <w:p w14:paraId="755F3955">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补水泵</w:t>
            </w:r>
          </w:p>
        </w:tc>
        <w:tc>
          <w:tcPr>
            <w:tcW w:w="2769" w:type="dxa"/>
            <w:noWrap w:val="0"/>
            <w:vAlign w:val="center"/>
          </w:tcPr>
          <w:p w14:paraId="2C506D98">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格兰富</w:t>
            </w:r>
          </w:p>
        </w:tc>
        <w:tc>
          <w:tcPr>
            <w:tcW w:w="801" w:type="dxa"/>
            <w:noWrap w:val="0"/>
            <w:vAlign w:val="center"/>
          </w:tcPr>
          <w:p w14:paraId="097DD6F3">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台</w:t>
            </w:r>
          </w:p>
        </w:tc>
        <w:tc>
          <w:tcPr>
            <w:tcW w:w="720" w:type="dxa"/>
            <w:noWrap w:val="0"/>
            <w:vAlign w:val="center"/>
          </w:tcPr>
          <w:p w14:paraId="1396E14A">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2</w:t>
            </w:r>
          </w:p>
        </w:tc>
        <w:tc>
          <w:tcPr>
            <w:tcW w:w="1881" w:type="dxa"/>
            <w:noWrap w:val="0"/>
            <w:vAlign w:val="center"/>
          </w:tcPr>
          <w:p w14:paraId="17412161">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p>
        </w:tc>
      </w:tr>
      <w:tr w14:paraId="1047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5023A2F8">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4</w:t>
            </w:r>
          </w:p>
        </w:tc>
        <w:tc>
          <w:tcPr>
            <w:tcW w:w="2334" w:type="dxa"/>
            <w:noWrap w:val="0"/>
            <w:vAlign w:val="center"/>
          </w:tcPr>
          <w:p w14:paraId="0893FA96">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napToGrid w:val="0"/>
                <w:sz w:val="20"/>
                <w:szCs w:val="20"/>
              </w:rPr>
              <w:t xml:space="preserve">逆流再生钠离子交换器 </w:t>
            </w:r>
          </w:p>
        </w:tc>
        <w:tc>
          <w:tcPr>
            <w:tcW w:w="2769" w:type="dxa"/>
            <w:noWrap w:val="0"/>
            <w:vAlign w:val="center"/>
          </w:tcPr>
          <w:p w14:paraId="35192561">
            <w:pPr>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napToGrid w:val="0"/>
                <w:sz w:val="20"/>
                <w:szCs w:val="20"/>
              </w:rPr>
              <w:t>Q=2m</w:t>
            </w:r>
            <w:r>
              <w:rPr>
                <w:rFonts w:hint="eastAsia" w:ascii="方正仿宋_GB18030" w:hAnsi="方正仿宋_GB18030" w:eastAsia="方正仿宋_GB18030" w:cs="方正仿宋_GB18030"/>
                <w:sz w:val="20"/>
                <w:szCs w:val="20"/>
              </w:rPr>
              <w:t xml:space="preserve"> ³/h</w:t>
            </w:r>
          </w:p>
        </w:tc>
        <w:tc>
          <w:tcPr>
            <w:tcW w:w="801" w:type="dxa"/>
            <w:noWrap w:val="0"/>
            <w:vAlign w:val="center"/>
          </w:tcPr>
          <w:p w14:paraId="7797B856">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台</w:t>
            </w:r>
          </w:p>
        </w:tc>
        <w:tc>
          <w:tcPr>
            <w:tcW w:w="720" w:type="dxa"/>
            <w:noWrap w:val="0"/>
            <w:vAlign w:val="center"/>
          </w:tcPr>
          <w:p w14:paraId="361CA65D">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w:t>
            </w:r>
          </w:p>
        </w:tc>
        <w:tc>
          <w:tcPr>
            <w:tcW w:w="1881" w:type="dxa"/>
            <w:noWrap w:val="0"/>
            <w:vAlign w:val="center"/>
          </w:tcPr>
          <w:p w14:paraId="6EAB195A">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p>
        </w:tc>
      </w:tr>
      <w:tr w14:paraId="0A78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0D6744A8">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5</w:t>
            </w:r>
          </w:p>
        </w:tc>
        <w:tc>
          <w:tcPr>
            <w:tcW w:w="2334" w:type="dxa"/>
            <w:noWrap w:val="0"/>
            <w:vAlign w:val="center"/>
          </w:tcPr>
          <w:p w14:paraId="3DD01A7A">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napToGrid w:val="0"/>
                <w:sz w:val="20"/>
                <w:szCs w:val="20"/>
              </w:rPr>
              <w:t>方形隔板水箱</w:t>
            </w:r>
          </w:p>
        </w:tc>
        <w:tc>
          <w:tcPr>
            <w:tcW w:w="2769" w:type="dxa"/>
            <w:noWrap w:val="0"/>
            <w:vAlign w:val="center"/>
          </w:tcPr>
          <w:p w14:paraId="62DEFC0B">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p>
        </w:tc>
        <w:tc>
          <w:tcPr>
            <w:tcW w:w="801" w:type="dxa"/>
            <w:noWrap w:val="0"/>
            <w:vAlign w:val="center"/>
          </w:tcPr>
          <w:p w14:paraId="5B17F2CC">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个</w:t>
            </w:r>
          </w:p>
        </w:tc>
        <w:tc>
          <w:tcPr>
            <w:tcW w:w="720" w:type="dxa"/>
            <w:noWrap w:val="0"/>
            <w:vAlign w:val="center"/>
          </w:tcPr>
          <w:p w14:paraId="65C1EA72">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w:t>
            </w:r>
          </w:p>
        </w:tc>
        <w:tc>
          <w:tcPr>
            <w:tcW w:w="1881" w:type="dxa"/>
            <w:noWrap w:val="0"/>
            <w:vAlign w:val="center"/>
          </w:tcPr>
          <w:p w14:paraId="5F5F36A9">
            <w:pPr>
              <w:autoSpaceDE w:val="0"/>
              <w:autoSpaceDN w:val="0"/>
              <w:adjustRightInd w:val="0"/>
              <w:snapToGrid w:val="0"/>
              <w:spacing w:line="460" w:lineRule="exact"/>
              <w:jc w:val="center"/>
              <w:rPr>
                <w:rFonts w:hint="eastAsia" w:ascii="方正仿宋_GB18030" w:hAnsi="方正仿宋_GB18030" w:eastAsia="方正仿宋_GB18030" w:cs="方正仿宋_GB18030"/>
                <w:sz w:val="20"/>
                <w:szCs w:val="20"/>
              </w:rPr>
            </w:pPr>
          </w:p>
        </w:tc>
      </w:tr>
    </w:tbl>
    <w:p w14:paraId="2A0AC750">
      <w:pPr>
        <w:autoSpaceDE w:val="0"/>
        <w:autoSpaceDN w:val="0"/>
        <w:adjustRightInd w:val="0"/>
        <w:snapToGrid w:val="0"/>
        <w:spacing w:line="460" w:lineRule="exac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备注：以上清单，仅供参考，具体数量以现场实际为准。</w:t>
      </w:r>
    </w:p>
    <w:p w14:paraId="5E84BE2C">
      <w:pP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br w:type="page"/>
      </w:r>
    </w:p>
    <w:p w14:paraId="08C86950">
      <w:pPr>
        <w:rPr>
          <w:rFonts w:hint="eastAsia" w:ascii="方正仿宋_GB18030" w:hAnsi="方正仿宋_GB18030" w:eastAsia="方正仿宋_GB18030" w:cs="方正仿宋_GB18030"/>
          <w:sz w:val="20"/>
          <w:szCs w:val="20"/>
        </w:rPr>
        <w:sectPr>
          <w:pgSz w:w="11906" w:h="16838"/>
          <w:pgMar w:top="1440" w:right="1800" w:bottom="1440" w:left="1800" w:header="851" w:footer="992" w:gutter="0"/>
          <w:pgNumType w:fmt="decimal"/>
          <w:cols w:space="425" w:num="1"/>
          <w:docGrid w:type="lines" w:linePitch="312" w:charSpace="0"/>
        </w:sectPr>
      </w:pPr>
    </w:p>
    <w:p w14:paraId="1895C708">
      <w:pPr>
        <w:spacing w:before="120" w:after="120" w:line="288" w:lineRule="auto"/>
        <w:ind w:left="0"/>
        <w:jc w:val="center"/>
        <w:rPr>
          <w:rFonts w:hint="eastAsia" w:ascii="方正仿宋_GB18030" w:hAnsi="方正仿宋_GB18030" w:eastAsia="方正仿宋_GB18030" w:cs="方正仿宋_GB18030"/>
          <w:b/>
          <w:bCs/>
          <w:sz w:val="22"/>
          <w:szCs w:val="22"/>
        </w:rPr>
      </w:pPr>
      <w:r>
        <w:rPr>
          <w:rFonts w:hint="eastAsia" w:ascii="方正仿宋_GB18030" w:hAnsi="方正仿宋_GB18030" w:eastAsia="方正仿宋_GB18030" w:cs="方正仿宋_GB18030"/>
          <w:b/>
          <w:bCs/>
          <w:sz w:val="22"/>
          <w:szCs w:val="22"/>
        </w:rPr>
        <w:t>（五）维保服务内容、周期及考核标准</w:t>
      </w:r>
    </w:p>
    <w:p w14:paraId="013B3617">
      <w:pPr>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b/>
          <w:bCs/>
          <w:sz w:val="20"/>
          <w:szCs w:val="20"/>
        </w:rPr>
        <w:t>1.日常巡查内容及标准</w:t>
      </w:r>
    </w:p>
    <w:tbl>
      <w:tblPr>
        <w:tblStyle w:val="2"/>
        <w:tblW w:w="14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6" w:type="dxa"/>
          <w:left w:w="96" w:type="dxa"/>
          <w:bottom w:w="56" w:type="dxa"/>
          <w:right w:w="96" w:type="dxa"/>
        </w:tblCellMar>
      </w:tblPr>
      <w:tblGrid>
        <w:gridCol w:w="1163"/>
        <w:gridCol w:w="1557"/>
        <w:gridCol w:w="5944"/>
        <w:gridCol w:w="2186"/>
        <w:gridCol w:w="3324"/>
      </w:tblGrid>
      <w:tr w14:paraId="7402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tblHeader/>
          <w:jc w:val="center"/>
        </w:trPr>
        <w:tc>
          <w:tcPr>
            <w:tcW w:w="1163" w:type="dxa"/>
            <w:tcBorders>
              <w:top w:val="single" w:color="auto" w:sz="4" w:space="0"/>
              <w:left w:val="single" w:color="auto" w:sz="4" w:space="0"/>
              <w:bottom w:val="single" w:color="auto" w:sz="4" w:space="0"/>
              <w:right w:val="single" w:color="auto" w:sz="4" w:space="0"/>
            </w:tcBorders>
            <w:vAlign w:val="center"/>
          </w:tcPr>
          <w:p w14:paraId="41011B88">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巡查区域/系统</w:t>
            </w:r>
          </w:p>
        </w:tc>
        <w:tc>
          <w:tcPr>
            <w:tcW w:w="1557" w:type="dxa"/>
            <w:tcBorders>
              <w:top w:val="single" w:color="auto" w:sz="4" w:space="0"/>
              <w:left w:val="single" w:color="auto" w:sz="4" w:space="0"/>
              <w:bottom w:val="single" w:color="auto" w:sz="4" w:space="0"/>
              <w:right w:val="single" w:color="auto" w:sz="4" w:space="0"/>
            </w:tcBorders>
            <w:vAlign w:val="center"/>
          </w:tcPr>
          <w:p w14:paraId="4135B197">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巡查项目</w:t>
            </w:r>
          </w:p>
        </w:tc>
        <w:tc>
          <w:tcPr>
            <w:tcW w:w="5944" w:type="dxa"/>
            <w:tcBorders>
              <w:top w:val="single" w:color="auto" w:sz="4" w:space="0"/>
              <w:left w:val="single" w:color="auto" w:sz="4" w:space="0"/>
              <w:bottom w:val="single" w:color="auto" w:sz="4" w:space="0"/>
              <w:right w:val="single" w:color="auto" w:sz="4" w:space="0"/>
            </w:tcBorders>
            <w:vAlign w:val="center"/>
          </w:tcPr>
          <w:p w14:paraId="15EF4346">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检查标准/要求</w:t>
            </w:r>
          </w:p>
        </w:tc>
        <w:tc>
          <w:tcPr>
            <w:tcW w:w="2186" w:type="dxa"/>
            <w:tcBorders>
              <w:top w:val="single" w:color="auto" w:sz="4" w:space="0"/>
              <w:left w:val="single" w:color="auto" w:sz="4" w:space="0"/>
              <w:bottom w:val="single" w:color="auto" w:sz="4" w:space="0"/>
              <w:right w:val="single" w:color="auto" w:sz="4" w:space="0"/>
            </w:tcBorders>
            <w:vAlign w:val="center"/>
          </w:tcPr>
          <w:p w14:paraId="16DCDEA5">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记录要求</w:t>
            </w:r>
          </w:p>
        </w:tc>
        <w:tc>
          <w:tcPr>
            <w:tcW w:w="3324" w:type="dxa"/>
            <w:tcBorders>
              <w:top w:val="single" w:color="auto" w:sz="4" w:space="0"/>
              <w:left w:val="single" w:color="auto" w:sz="4" w:space="0"/>
              <w:bottom w:val="single" w:color="auto" w:sz="4" w:space="0"/>
              <w:right w:val="single" w:color="auto" w:sz="4" w:space="0"/>
            </w:tcBorders>
            <w:vAlign w:val="center"/>
          </w:tcPr>
          <w:p w14:paraId="1C5CF856">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异常处理要求</w:t>
            </w:r>
          </w:p>
        </w:tc>
      </w:tr>
      <w:tr w14:paraId="7F43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D2238C2">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锅炉机房</w:t>
            </w:r>
          </w:p>
        </w:tc>
        <w:tc>
          <w:tcPr>
            <w:tcW w:w="1557" w:type="dxa"/>
            <w:tcBorders>
              <w:top w:val="single" w:color="auto" w:sz="4" w:space="0"/>
              <w:left w:val="single" w:color="auto" w:sz="4" w:space="0"/>
              <w:bottom w:val="single" w:color="auto" w:sz="4" w:space="0"/>
              <w:right w:val="single" w:color="auto" w:sz="4" w:space="0"/>
            </w:tcBorders>
            <w:vAlign w:val="center"/>
          </w:tcPr>
          <w:p w14:paraId="779F316B">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锅炉本体运行状态</w:t>
            </w:r>
          </w:p>
        </w:tc>
        <w:tc>
          <w:tcPr>
            <w:tcW w:w="5944" w:type="dxa"/>
            <w:tcBorders>
              <w:top w:val="single" w:color="auto" w:sz="4" w:space="0"/>
              <w:left w:val="single" w:color="auto" w:sz="4" w:space="0"/>
              <w:bottom w:val="single" w:color="auto" w:sz="4" w:space="0"/>
              <w:right w:val="single" w:color="auto" w:sz="4" w:space="0"/>
            </w:tcBorders>
            <w:vAlign w:val="center"/>
          </w:tcPr>
          <w:p w14:paraId="292D9A4C">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蒸汽锅炉：蒸汽压力、温度在额定范围，水位在正常水位线±50mm内；热水锅炉：出水/回水温度、压力符合设定值；炉体无异常振动、异响、泄漏（蒸汽、热水、燃气）。</w:t>
            </w:r>
          </w:p>
        </w:tc>
        <w:tc>
          <w:tcPr>
            <w:tcW w:w="2186" w:type="dxa"/>
            <w:tcBorders>
              <w:top w:val="single" w:color="auto" w:sz="4" w:space="0"/>
              <w:left w:val="single" w:color="auto" w:sz="4" w:space="0"/>
              <w:bottom w:val="single" w:color="auto" w:sz="4" w:space="0"/>
              <w:right w:val="single" w:color="auto" w:sz="4" w:space="0"/>
            </w:tcBorders>
            <w:vAlign w:val="center"/>
          </w:tcPr>
          <w:p w14:paraId="1435B5B5">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每小时记录1次关键运行参数（压力、温度、水位）</w:t>
            </w:r>
          </w:p>
        </w:tc>
        <w:tc>
          <w:tcPr>
            <w:tcW w:w="3324" w:type="dxa"/>
            <w:tcBorders>
              <w:top w:val="single" w:color="auto" w:sz="4" w:space="0"/>
              <w:left w:val="single" w:color="auto" w:sz="4" w:space="0"/>
              <w:bottom w:val="single" w:color="auto" w:sz="4" w:space="0"/>
              <w:right w:val="single" w:color="auto" w:sz="4" w:space="0"/>
            </w:tcBorders>
            <w:vAlign w:val="center"/>
          </w:tcPr>
          <w:p w14:paraId="3F5CEE81">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立即停炉（若出现超压、缺水等紧急情况），启动应急预案，记录异常现象并上报院方。</w:t>
            </w:r>
          </w:p>
        </w:tc>
      </w:tr>
      <w:tr w14:paraId="19BD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2D8FD0E5">
            <w:pPr>
              <w:snapToGrid w:val="0"/>
              <w:spacing w:before="120" w:after="120" w:line="288" w:lineRule="auto"/>
              <w:ind w:left="0"/>
              <w:jc w:val="center"/>
              <w:rPr>
                <w:rFonts w:hint="eastAsia" w:ascii="方正仿宋_GB18030" w:hAnsi="方正仿宋_GB18030" w:eastAsia="方正仿宋_GB18030" w:cs="方正仿宋_GB18030"/>
                <w:sz w:val="20"/>
                <w:szCs w:val="20"/>
              </w:rPr>
            </w:pPr>
          </w:p>
        </w:tc>
        <w:tc>
          <w:tcPr>
            <w:tcW w:w="1557" w:type="dxa"/>
            <w:tcBorders>
              <w:top w:val="single" w:color="auto" w:sz="4" w:space="0"/>
              <w:left w:val="single" w:color="auto" w:sz="4" w:space="0"/>
              <w:bottom w:val="single" w:color="auto" w:sz="4" w:space="0"/>
              <w:right w:val="single" w:color="auto" w:sz="4" w:space="0"/>
            </w:tcBorders>
            <w:vAlign w:val="center"/>
          </w:tcPr>
          <w:p w14:paraId="16100FC6">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燃烧器运行状态</w:t>
            </w:r>
          </w:p>
        </w:tc>
        <w:tc>
          <w:tcPr>
            <w:tcW w:w="5944" w:type="dxa"/>
            <w:tcBorders>
              <w:top w:val="single" w:color="auto" w:sz="4" w:space="0"/>
              <w:left w:val="single" w:color="auto" w:sz="4" w:space="0"/>
              <w:bottom w:val="single" w:color="auto" w:sz="4" w:space="0"/>
              <w:right w:val="single" w:color="auto" w:sz="4" w:space="0"/>
            </w:tcBorders>
            <w:vAlign w:val="center"/>
          </w:tcPr>
          <w:p w14:paraId="6BF9C34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点火正常，火焰呈淡蓝色且稳定，无脱火、回火、熄火现象；燃气压力稳定在额定范围（0.02-0.03MPa）；风压、油压（若有）符合设备要求。</w:t>
            </w:r>
          </w:p>
        </w:tc>
        <w:tc>
          <w:tcPr>
            <w:tcW w:w="2186" w:type="dxa"/>
            <w:tcBorders>
              <w:top w:val="single" w:color="auto" w:sz="4" w:space="0"/>
              <w:left w:val="single" w:color="auto" w:sz="4" w:space="0"/>
              <w:bottom w:val="single" w:color="auto" w:sz="4" w:space="0"/>
              <w:right w:val="single" w:color="auto" w:sz="4" w:space="0"/>
            </w:tcBorders>
            <w:vAlign w:val="center"/>
          </w:tcPr>
          <w:p w14:paraId="16B82E65">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每2小时记录1次燃烧器运行参数</w:t>
            </w:r>
          </w:p>
        </w:tc>
        <w:tc>
          <w:tcPr>
            <w:tcW w:w="3324" w:type="dxa"/>
            <w:tcBorders>
              <w:top w:val="single" w:color="auto" w:sz="4" w:space="0"/>
              <w:left w:val="single" w:color="auto" w:sz="4" w:space="0"/>
              <w:bottom w:val="single" w:color="auto" w:sz="4" w:space="0"/>
              <w:right w:val="single" w:color="auto" w:sz="4" w:space="0"/>
            </w:tcBorders>
            <w:vAlign w:val="center"/>
          </w:tcPr>
          <w:p w14:paraId="4044D2D1">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立即关闭燃气阀门（若出现熄火、回火），排查原因并修复，修复前禁止重新点火。</w:t>
            </w:r>
          </w:p>
        </w:tc>
      </w:tr>
      <w:tr w14:paraId="2F1E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2171F708">
            <w:pPr>
              <w:snapToGrid w:val="0"/>
              <w:spacing w:before="120" w:after="120" w:line="288" w:lineRule="auto"/>
              <w:ind w:left="0"/>
              <w:jc w:val="center"/>
              <w:rPr>
                <w:rFonts w:hint="eastAsia" w:ascii="方正仿宋_GB18030" w:hAnsi="方正仿宋_GB18030" w:eastAsia="方正仿宋_GB18030" w:cs="方正仿宋_GB18030"/>
                <w:sz w:val="20"/>
                <w:szCs w:val="20"/>
              </w:rPr>
            </w:pPr>
          </w:p>
        </w:tc>
        <w:tc>
          <w:tcPr>
            <w:tcW w:w="1557" w:type="dxa"/>
            <w:tcBorders>
              <w:top w:val="single" w:color="auto" w:sz="4" w:space="0"/>
              <w:left w:val="single" w:color="auto" w:sz="4" w:space="0"/>
              <w:bottom w:val="single" w:color="auto" w:sz="4" w:space="0"/>
              <w:right w:val="single" w:color="auto" w:sz="4" w:space="0"/>
            </w:tcBorders>
            <w:vAlign w:val="center"/>
          </w:tcPr>
          <w:p w14:paraId="01A96967">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给水泵/循环泵/补水泵</w:t>
            </w:r>
          </w:p>
        </w:tc>
        <w:tc>
          <w:tcPr>
            <w:tcW w:w="5944" w:type="dxa"/>
            <w:tcBorders>
              <w:top w:val="single" w:color="auto" w:sz="4" w:space="0"/>
              <w:left w:val="single" w:color="auto" w:sz="4" w:space="0"/>
              <w:bottom w:val="single" w:color="auto" w:sz="4" w:space="0"/>
              <w:right w:val="single" w:color="auto" w:sz="4" w:space="0"/>
            </w:tcBorders>
            <w:vAlign w:val="center"/>
          </w:tcPr>
          <w:p w14:paraId="0C6495BA">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运行平稳，无异常噪音、振动、过热（轴承温度≤75℃）；进出口压力正常，无泄漏；电机电流、电压在额定范围。</w:t>
            </w:r>
          </w:p>
        </w:tc>
        <w:tc>
          <w:tcPr>
            <w:tcW w:w="2186" w:type="dxa"/>
            <w:tcBorders>
              <w:top w:val="single" w:color="auto" w:sz="4" w:space="0"/>
              <w:left w:val="single" w:color="auto" w:sz="4" w:space="0"/>
              <w:bottom w:val="single" w:color="auto" w:sz="4" w:space="0"/>
              <w:right w:val="single" w:color="auto" w:sz="4" w:space="0"/>
            </w:tcBorders>
            <w:vAlign w:val="center"/>
          </w:tcPr>
          <w:p w14:paraId="356D3475">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每2小时记录1次运行状态、压力、电流</w:t>
            </w:r>
          </w:p>
        </w:tc>
        <w:tc>
          <w:tcPr>
            <w:tcW w:w="3324" w:type="dxa"/>
            <w:tcBorders>
              <w:top w:val="single" w:color="auto" w:sz="4" w:space="0"/>
              <w:left w:val="single" w:color="auto" w:sz="4" w:space="0"/>
              <w:bottom w:val="single" w:color="auto" w:sz="4" w:space="0"/>
              <w:right w:val="single" w:color="auto" w:sz="4" w:space="0"/>
            </w:tcBorders>
            <w:vAlign w:val="center"/>
          </w:tcPr>
          <w:p w14:paraId="58C80CE3">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记录异常，及时停机报修，若为关键泵组，立即切换至备用泵。</w:t>
            </w:r>
          </w:p>
        </w:tc>
      </w:tr>
      <w:tr w14:paraId="41F4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0768932E">
            <w:pPr>
              <w:snapToGrid w:val="0"/>
              <w:spacing w:before="120" w:after="120" w:line="288" w:lineRule="auto"/>
              <w:ind w:left="0"/>
              <w:jc w:val="center"/>
              <w:rPr>
                <w:rFonts w:hint="eastAsia" w:ascii="方正仿宋_GB18030" w:hAnsi="方正仿宋_GB18030" w:eastAsia="方正仿宋_GB18030" w:cs="方正仿宋_GB18030"/>
                <w:sz w:val="20"/>
                <w:szCs w:val="20"/>
              </w:rPr>
            </w:pPr>
          </w:p>
        </w:tc>
        <w:tc>
          <w:tcPr>
            <w:tcW w:w="1557" w:type="dxa"/>
            <w:tcBorders>
              <w:top w:val="single" w:color="auto" w:sz="4" w:space="0"/>
              <w:left w:val="single" w:color="auto" w:sz="4" w:space="0"/>
              <w:bottom w:val="single" w:color="auto" w:sz="4" w:space="0"/>
              <w:right w:val="single" w:color="auto" w:sz="4" w:space="0"/>
            </w:tcBorders>
            <w:vAlign w:val="center"/>
          </w:tcPr>
          <w:p w14:paraId="68298250">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引风机/鼓风机</w:t>
            </w:r>
          </w:p>
        </w:tc>
        <w:tc>
          <w:tcPr>
            <w:tcW w:w="5944" w:type="dxa"/>
            <w:tcBorders>
              <w:top w:val="single" w:color="auto" w:sz="4" w:space="0"/>
              <w:left w:val="single" w:color="auto" w:sz="4" w:space="0"/>
              <w:bottom w:val="single" w:color="auto" w:sz="4" w:space="0"/>
              <w:right w:val="single" w:color="auto" w:sz="4" w:space="0"/>
            </w:tcBorders>
            <w:vAlign w:val="center"/>
          </w:tcPr>
          <w:p w14:paraId="7DE56E4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运行平稳，无异常噪音、振动；风量、风压符合锅炉运行需求；电机电流、电压正常，轴承温度≤75℃。</w:t>
            </w:r>
          </w:p>
        </w:tc>
        <w:tc>
          <w:tcPr>
            <w:tcW w:w="2186" w:type="dxa"/>
            <w:tcBorders>
              <w:top w:val="single" w:color="auto" w:sz="4" w:space="0"/>
              <w:left w:val="single" w:color="auto" w:sz="4" w:space="0"/>
              <w:bottom w:val="single" w:color="auto" w:sz="4" w:space="0"/>
              <w:right w:val="single" w:color="auto" w:sz="4" w:space="0"/>
            </w:tcBorders>
            <w:vAlign w:val="center"/>
          </w:tcPr>
          <w:p w14:paraId="2098CC25">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每2小时记录1次运行状态、电流</w:t>
            </w:r>
          </w:p>
        </w:tc>
        <w:tc>
          <w:tcPr>
            <w:tcW w:w="3324" w:type="dxa"/>
            <w:tcBorders>
              <w:top w:val="single" w:color="auto" w:sz="4" w:space="0"/>
              <w:left w:val="single" w:color="auto" w:sz="4" w:space="0"/>
              <w:bottom w:val="single" w:color="auto" w:sz="4" w:space="0"/>
              <w:right w:val="single" w:color="auto" w:sz="4" w:space="0"/>
            </w:tcBorders>
            <w:vAlign w:val="center"/>
          </w:tcPr>
          <w:p w14:paraId="225C1DD7">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记录异常，及时停机报修，若影响锅炉燃烧，可适当降低锅炉负荷并紧急维修。</w:t>
            </w:r>
          </w:p>
        </w:tc>
      </w:tr>
      <w:tr w14:paraId="07D9B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10784A2C">
            <w:pPr>
              <w:snapToGrid w:val="0"/>
              <w:spacing w:before="120" w:after="120" w:line="288" w:lineRule="auto"/>
              <w:ind w:left="0"/>
              <w:jc w:val="center"/>
              <w:rPr>
                <w:rFonts w:hint="eastAsia" w:ascii="方正仿宋_GB18030" w:hAnsi="方正仿宋_GB18030" w:eastAsia="方正仿宋_GB18030" w:cs="方正仿宋_GB18030"/>
                <w:sz w:val="20"/>
                <w:szCs w:val="20"/>
              </w:rPr>
            </w:pPr>
          </w:p>
        </w:tc>
        <w:tc>
          <w:tcPr>
            <w:tcW w:w="1557" w:type="dxa"/>
            <w:tcBorders>
              <w:top w:val="single" w:color="auto" w:sz="4" w:space="0"/>
              <w:left w:val="single" w:color="auto" w:sz="4" w:space="0"/>
              <w:bottom w:val="single" w:color="auto" w:sz="4" w:space="0"/>
              <w:right w:val="single" w:color="auto" w:sz="4" w:space="0"/>
            </w:tcBorders>
            <w:vAlign w:val="center"/>
          </w:tcPr>
          <w:p w14:paraId="54431C9C">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水处理设备（软水器、除氧器）</w:t>
            </w:r>
          </w:p>
        </w:tc>
        <w:tc>
          <w:tcPr>
            <w:tcW w:w="5944" w:type="dxa"/>
            <w:tcBorders>
              <w:top w:val="single" w:color="auto" w:sz="4" w:space="0"/>
              <w:left w:val="single" w:color="auto" w:sz="4" w:space="0"/>
              <w:bottom w:val="single" w:color="auto" w:sz="4" w:space="0"/>
              <w:right w:val="single" w:color="auto" w:sz="4" w:space="0"/>
            </w:tcBorders>
            <w:vAlign w:val="center"/>
          </w:tcPr>
          <w:p w14:paraId="760DF3D4">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软水器出水硬度≤0.03mmol/L；除氧器出水含氧量≤0.05mg/L；设备运行程序正常，再生系统无故障。</w:t>
            </w:r>
          </w:p>
        </w:tc>
        <w:tc>
          <w:tcPr>
            <w:tcW w:w="2186" w:type="dxa"/>
            <w:tcBorders>
              <w:top w:val="single" w:color="auto" w:sz="4" w:space="0"/>
              <w:left w:val="single" w:color="auto" w:sz="4" w:space="0"/>
              <w:bottom w:val="single" w:color="auto" w:sz="4" w:space="0"/>
              <w:right w:val="single" w:color="auto" w:sz="4" w:space="0"/>
            </w:tcBorders>
            <w:vAlign w:val="center"/>
          </w:tcPr>
          <w:p w14:paraId="0183044D">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每日记录2次水质检测数据（硬度、含氧量）</w:t>
            </w:r>
          </w:p>
        </w:tc>
        <w:tc>
          <w:tcPr>
            <w:tcW w:w="3324" w:type="dxa"/>
            <w:tcBorders>
              <w:top w:val="single" w:color="auto" w:sz="4" w:space="0"/>
              <w:left w:val="single" w:color="auto" w:sz="4" w:space="0"/>
              <w:bottom w:val="single" w:color="auto" w:sz="4" w:space="0"/>
              <w:right w:val="single" w:color="auto" w:sz="4" w:space="0"/>
            </w:tcBorders>
            <w:vAlign w:val="center"/>
          </w:tcPr>
          <w:p w14:paraId="31D941F5">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立即停机检修水处理设备，若水质超标，暂停锅炉补水并更换备用软水，待水质达标后恢复补水。</w:t>
            </w:r>
          </w:p>
        </w:tc>
      </w:tr>
      <w:tr w14:paraId="515B0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7D281A60">
            <w:pPr>
              <w:snapToGrid w:val="0"/>
              <w:spacing w:before="120" w:after="120" w:line="288" w:lineRule="auto"/>
              <w:ind w:left="0"/>
              <w:jc w:val="center"/>
              <w:rPr>
                <w:rFonts w:hint="eastAsia" w:ascii="方正仿宋_GB18030" w:hAnsi="方正仿宋_GB18030" w:eastAsia="方正仿宋_GB18030" w:cs="方正仿宋_GB18030"/>
                <w:sz w:val="20"/>
                <w:szCs w:val="20"/>
              </w:rPr>
            </w:pPr>
          </w:p>
        </w:tc>
        <w:tc>
          <w:tcPr>
            <w:tcW w:w="1557" w:type="dxa"/>
            <w:tcBorders>
              <w:top w:val="single" w:color="auto" w:sz="4" w:space="0"/>
              <w:left w:val="single" w:color="auto" w:sz="4" w:space="0"/>
              <w:bottom w:val="single" w:color="auto" w:sz="4" w:space="0"/>
              <w:right w:val="single" w:color="auto" w:sz="4" w:space="0"/>
            </w:tcBorders>
            <w:vAlign w:val="center"/>
          </w:tcPr>
          <w:p w14:paraId="48626E05">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安全附件（安全阀、压力表、水位计）</w:t>
            </w:r>
          </w:p>
        </w:tc>
        <w:tc>
          <w:tcPr>
            <w:tcW w:w="5944" w:type="dxa"/>
            <w:tcBorders>
              <w:top w:val="single" w:color="auto" w:sz="4" w:space="0"/>
              <w:left w:val="single" w:color="auto" w:sz="4" w:space="0"/>
              <w:bottom w:val="single" w:color="auto" w:sz="4" w:space="0"/>
              <w:right w:val="single" w:color="auto" w:sz="4" w:space="0"/>
            </w:tcBorders>
            <w:vAlign w:val="center"/>
          </w:tcPr>
          <w:p w14:paraId="18D510D6">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安全阀铅封完好，无泄漏；压力表指针灵活，读数准确（与标准表比对误差≤0.05MPa）；水位计清晰，水位显示准确，无结垢、泄漏。</w:t>
            </w:r>
          </w:p>
        </w:tc>
        <w:tc>
          <w:tcPr>
            <w:tcW w:w="2186" w:type="dxa"/>
            <w:tcBorders>
              <w:top w:val="single" w:color="auto" w:sz="4" w:space="0"/>
              <w:left w:val="single" w:color="auto" w:sz="4" w:space="0"/>
              <w:bottom w:val="single" w:color="auto" w:sz="4" w:space="0"/>
              <w:right w:val="single" w:color="auto" w:sz="4" w:space="0"/>
            </w:tcBorders>
            <w:vAlign w:val="center"/>
          </w:tcPr>
          <w:p w14:paraId="6E20D19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每小时检查1次安全附件状态</w:t>
            </w:r>
          </w:p>
        </w:tc>
        <w:tc>
          <w:tcPr>
            <w:tcW w:w="3324" w:type="dxa"/>
            <w:tcBorders>
              <w:top w:val="single" w:color="auto" w:sz="4" w:space="0"/>
              <w:left w:val="single" w:color="auto" w:sz="4" w:space="0"/>
              <w:bottom w:val="single" w:color="auto" w:sz="4" w:space="0"/>
              <w:right w:val="single" w:color="auto" w:sz="4" w:space="0"/>
            </w:tcBorders>
            <w:vAlign w:val="center"/>
          </w:tcPr>
          <w:p w14:paraId="571055DE">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立即停用故障安全附件，更换备用件并联系校验单位，未修复前锅炉不得运行。</w:t>
            </w:r>
          </w:p>
        </w:tc>
      </w:tr>
      <w:tr w14:paraId="5F10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71743BB0">
            <w:pPr>
              <w:snapToGrid w:val="0"/>
              <w:spacing w:before="120" w:after="120" w:line="288" w:lineRule="auto"/>
              <w:ind w:left="0"/>
              <w:jc w:val="center"/>
              <w:rPr>
                <w:rFonts w:hint="eastAsia" w:ascii="方正仿宋_GB18030" w:hAnsi="方正仿宋_GB18030" w:eastAsia="方正仿宋_GB18030" w:cs="方正仿宋_GB18030"/>
                <w:sz w:val="20"/>
                <w:szCs w:val="20"/>
              </w:rPr>
            </w:pPr>
          </w:p>
        </w:tc>
        <w:tc>
          <w:tcPr>
            <w:tcW w:w="1557" w:type="dxa"/>
            <w:tcBorders>
              <w:top w:val="single" w:color="auto" w:sz="4" w:space="0"/>
              <w:left w:val="single" w:color="auto" w:sz="4" w:space="0"/>
              <w:bottom w:val="single" w:color="auto" w:sz="4" w:space="0"/>
              <w:right w:val="single" w:color="auto" w:sz="4" w:space="0"/>
            </w:tcBorders>
            <w:vAlign w:val="center"/>
          </w:tcPr>
          <w:p w14:paraId="6A0C1C1A">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燃气管道及阀门</w:t>
            </w:r>
          </w:p>
        </w:tc>
        <w:tc>
          <w:tcPr>
            <w:tcW w:w="5944" w:type="dxa"/>
            <w:tcBorders>
              <w:top w:val="single" w:color="auto" w:sz="4" w:space="0"/>
              <w:left w:val="single" w:color="auto" w:sz="4" w:space="0"/>
              <w:bottom w:val="single" w:color="auto" w:sz="4" w:space="0"/>
              <w:right w:val="single" w:color="auto" w:sz="4" w:space="0"/>
            </w:tcBorders>
            <w:vAlign w:val="center"/>
          </w:tcPr>
          <w:p w14:paraId="1A94D2EC">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燃气管道无泄漏（用肥皂水检测接口）；阀门开关灵活，无卡滞、泄漏；燃气报警仪正常工作（定期测试报警功能）。</w:t>
            </w:r>
          </w:p>
        </w:tc>
        <w:tc>
          <w:tcPr>
            <w:tcW w:w="2186" w:type="dxa"/>
            <w:tcBorders>
              <w:top w:val="single" w:color="auto" w:sz="4" w:space="0"/>
              <w:left w:val="single" w:color="auto" w:sz="4" w:space="0"/>
              <w:bottom w:val="single" w:color="auto" w:sz="4" w:space="0"/>
              <w:right w:val="single" w:color="auto" w:sz="4" w:space="0"/>
            </w:tcBorders>
            <w:vAlign w:val="center"/>
          </w:tcPr>
          <w:p w14:paraId="1954B328">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每2小时检查1次燃气管道及阀门，每日测试1次燃气报警仪</w:t>
            </w:r>
          </w:p>
        </w:tc>
        <w:tc>
          <w:tcPr>
            <w:tcW w:w="3324" w:type="dxa"/>
            <w:tcBorders>
              <w:top w:val="single" w:color="auto" w:sz="4" w:space="0"/>
              <w:left w:val="single" w:color="auto" w:sz="4" w:space="0"/>
              <w:bottom w:val="single" w:color="auto" w:sz="4" w:space="0"/>
              <w:right w:val="single" w:color="auto" w:sz="4" w:space="0"/>
            </w:tcBorders>
            <w:vAlign w:val="center"/>
          </w:tcPr>
          <w:p w14:paraId="4632CF95">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立即关闭燃气总阀（若发现泄漏），通风换气后排查泄漏点并修复，修复后需进行气密性测试。</w:t>
            </w:r>
          </w:p>
        </w:tc>
      </w:tr>
      <w:tr w14:paraId="6811B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19A5C71">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机房环境</w:t>
            </w:r>
          </w:p>
        </w:tc>
        <w:tc>
          <w:tcPr>
            <w:tcW w:w="1557" w:type="dxa"/>
            <w:tcBorders>
              <w:top w:val="single" w:color="auto" w:sz="4" w:space="0"/>
              <w:left w:val="single" w:color="auto" w:sz="4" w:space="0"/>
              <w:bottom w:val="single" w:color="auto" w:sz="4" w:space="0"/>
              <w:right w:val="single" w:color="auto" w:sz="4" w:space="0"/>
            </w:tcBorders>
            <w:vAlign w:val="center"/>
          </w:tcPr>
          <w:p w14:paraId="613ADAF9">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机房温度、通风</w:t>
            </w:r>
          </w:p>
        </w:tc>
        <w:tc>
          <w:tcPr>
            <w:tcW w:w="5944" w:type="dxa"/>
            <w:tcBorders>
              <w:top w:val="single" w:color="auto" w:sz="4" w:space="0"/>
              <w:left w:val="single" w:color="auto" w:sz="4" w:space="0"/>
              <w:bottom w:val="single" w:color="auto" w:sz="4" w:space="0"/>
              <w:right w:val="single" w:color="auto" w:sz="4" w:space="0"/>
            </w:tcBorders>
            <w:vAlign w:val="center"/>
          </w:tcPr>
          <w:p w14:paraId="5C16B266">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机房温度≤40℃，通风良好；无易燃易爆物品堆放；消防器材完备且在有效期内。</w:t>
            </w:r>
          </w:p>
        </w:tc>
        <w:tc>
          <w:tcPr>
            <w:tcW w:w="2186" w:type="dxa"/>
            <w:tcBorders>
              <w:top w:val="single" w:color="auto" w:sz="4" w:space="0"/>
              <w:left w:val="single" w:color="auto" w:sz="4" w:space="0"/>
              <w:bottom w:val="single" w:color="auto" w:sz="4" w:space="0"/>
              <w:right w:val="single" w:color="auto" w:sz="4" w:space="0"/>
            </w:tcBorders>
            <w:vAlign w:val="center"/>
          </w:tcPr>
          <w:p w14:paraId="7ED4ADFE">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每日记录2次机房温度</w:t>
            </w:r>
          </w:p>
        </w:tc>
        <w:tc>
          <w:tcPr>
            <w:tcW w:w="3324" w:type="dxa"/>
            <w:tcBorders>
              <w:top w:val="single" w:color="auto" w:sz="4" w:space="0"/>
              <w:left w:val="single" w:color="auto" w:sz="4" w:space="0"/>
              <w:bottom w:val="single" w:color="auto" w:sz="4" w:space="0"/>
              <w:right w:val="single" w:color="auto" w:sz="4" w:space="0"/>
            </w:tcBorders>
            <w:vAlign w:val="center"/>
          </w:tcPr>
          <w:p w14:paraId="493C8357">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开启机房通风设备（若温度过高），清理易燃物品，更换过期消防器材。</w:t>
            </w:r>
          </w:p>
        </w:tc>
      </w:tr>
    </w:tbl>
    <w:p w14:paraId="114090E8">
      <w:pPr>
        <w:rPr>
          <w:rFonts w:hint="eastAsia" w:ascii="方正仿宋_GB18030" w:hAnsi="方正仿宋_GB18030" w:eastAsia="方正仿宋_GB18030" w:cs="方正仿宋_GB18030"/>
          <w:sz w:val="20"/>
          <w:szCs w:val="20"/>
          <w:lang w:val="en-US" w:eastAsia="zh-CN"/>
        </w:rPr>
      </w:pPr>
    </w:p>
    <w:p w14:paraId="0BE51618">
      <w:pPr>
        <w:rPr>
          <w:rFonts w:hint="eastAsia" w:ascii="方正仿宋_GB18030" w:hAnsi="方正仿宋_GB18030" w:eastAsia="方正仿宋_GB18030" w:cs="方正仿宋_GB18030"/>
          <w:sz w:val="20"/>
          <w:szCs w:val="20"/>
          <w:lang w:val="en-US" w:eastAsia="zh-CN"/>
        </w:rPr>
      </w:pPr>
    </w:p>
    <w:p w14:paraId="34A19E66">
      <w:pPr>
        <w:rPr>
          <w:rFonts w:hint="eastAsia" w:ascii="方正仿宋_GB18030" w:hAnsi="方正仿宋_GB18030" w:eastAsia="方正仿宋_GB18030" w:cs="方正仿宋_GB18030"/>
          <w:sz w:val="20"/>
          <w:szCs w:val="20"/>
          <w:lang w:val="en-US" w:eastAsia="zh-CN"/>
        </w:rPr>
      </w:pPr>
    </w:p>
    <w:p w14:paraId="1C35AF6F">
      <w:pPr>
        <w:spacing w:before="120" w:after="120" w:line="288" w:lineRule="auto"/>
        <w:ind w:left="0"/>
        <w:jc w:val="left"/>
        <w:rPr>
          <w:rFonts w:hint="eastAsia" w:ascii="方正仿宋_GB18030" w:hAnsi="方正仿宋_GB18030" w:eastAsia="方正仿宋_GB18030" w:cs="方正仿宋_GB18030"/>
          <w:b/>
          <w:bCs/>
          <w:sz w:val="20"/>
          <w:szCs w:val="20"/>
        </w:rPr>
      </w:pPr>
    </w:p>
    <w:p w14:paraId="522F6B2C">
      <w:pPr>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b/>
          <w:bCs/>
          <w:sz w:val="20"/>
          <w:szCs w:val="20"/>
        </w:rPr>
        <w:t>2. 月度维保内容及标准</w:t>
      </w:r>
    </w:p>
    <w:tbl>
      <w:tblPr>
        <w:tblStyle w:val="2"/>
        <w:tblW w:w="15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6" w:type="dxa"/>
          <w:left w:w="96" w:type="dxa"/>
          <w:bottom w:w="56" w:type="dxa"/>
          <w:right w:w="96" w:type="dxa"/>
        </w:tblCellMar>
      </w:tblPr>
      <w:tblGrid>
        <w:gridCol w:w="1282"/>
        <w:gridCol w:w="1510"/>
        <w:gridCol w:w="3319"/>
        <w:gridCol w:w="4192"/>
        <w:gridCol w:w="2041"/>
        <w:gridCol w:w="3642"/>
      </w:tblGrid>
      <w:tr w14:paraId="6C2E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tblHeader/>
          <w:jc w:val="center"/>
        </w:trPr>
        <w:tc>
          <w:tcPr>
            <w:tcW w:w="1282" w:type="dxa"/>
            <w:tcBorders>
              <w:top w:val="single" w:color="auto" w:sz="4" w:space="0"/>
              <w:left w:val="single" w:color="auto" w:sz="4" w:space="0"/>
              <w:bottom w:val="single" w:color="auto" w:sz="4" w:space="0"/>
              <w:right w:val="single" w:color="auto" w:sz="4" w:space="0"/>
            </w:tcBorders>
            <w:vAlign w:val="center"/>
          </w:tcPr>
          <w:p w14:paraId="17AC773E">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维保区域/系统</w:t>
            </w:r>
          </w:p>
        </w:tc>
        <w:tc>
          <w:tcPr>
            <w:tcW w:w="1510" w:type="dxa"/>
            <w:tcBorders>
              <w:top w:val="single" w:color="auto" w:sz="4" w:space="0"/>
              <w:left w:val="single" w:color="auto" w:sz="4" w:space="0"/>
              <w:bottom w:val="single" w:color="auto" w:sz="4" w:space="0"/>
              <w:right w:val="single" w:color="auto" w:sz="4" w:space="0"/>
            </w:tcBorders>
            <w:vAlign w:val="center"/>
          </w:tcPr>
          <w:p w14:paraId="1E97C1F5">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维保项目</w:t>
            </w:r>
          </w:p>
        </w:tc>
        <w:tc>
          <w:tcPr>
            <w:tcW w:w="3319" w:type="dxa"/>
            <w:tcBorders>
              <w:top w:val="single" w:color="auto" w:sz="4" w:space="0"/>
              <w:left w:val="single" w:color="auto" w:sz="4" w:space="0"/>
              <w:bottom w:val="single" w:color="auto" w:sz="4" w:space="0"/>
              <w:right w:val="single" w:color="auto" w:sz="4" w:space="0"/>
            </w:tcBorders>
            <w:vAlign w:val="center"/>
          </w:tcPr>
          <w:p w14:paraId="3747CA12">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具体内容</w:t>
            </w:r>
          </w:p>
        </w:tc>
        <w:tc>
          <w:tcPr>
            <w:tcW w:w="4192" w:type="dxa"/>
            <w:tcBorders>
              <w:top w:val="single" w:color="auto" w:sz="4" w:space="0"/>
              <w:left w:val="single" w:color="auto" w:sz="4" w:space="0"/>
              <w:bottom w:val="single" w:color="auto" w:sz="4" w:space="0"/>
              <w:right w:val="single" w:color="auto" w:sz="4" w:space="0"/>
            </w:tcBorders>
            <w:vAlign w:val="center"/>
          </w:tcPr>
          <w:p w14:paraId="780D0021">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标准/要求</w:t>
            </w:r>
          </w:p>
        </w:tc>
        <w:tc>
          <w:tcPr>
            <w:tcW w:w="2041" w:type="dxa"/>
            <w:tcBorders>
              <w:top w:val="single" w:color="auto" w:sz="4" w:space="0"/>
              <w:left w:val="single" w:color="auto" w:sz="4" w:space="0"/>
              <w:bottom w:val="single" w:color="auto" w:sz="4" w:space="0"/>
              <w:right w:val="single" w:color="auto" w:sz="4" w:space="0"/>
            </w:tcBorders>
            <w:vAlign w:val="center"/>
          </w:tcPr>
          <w:p w14:paraId="0851AD8C">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记录要求</w:t>
            </w:r>
          </w:p>
        </w:tc>
        <w:tc>
          <w:tcPr>
            <w:tcW w:w="3642" w:type="dxa"/>
            <w:tcBorders>
              <w:top w:val="single" w:color="auto" w:sz="4" w:space="0"/>
              <w:left w:val="single" w:color="auto" w:sz="4" w:space="0"/>
              <w:bottom w:val="single" w:color="auto" w:sz="4" w:space="0"/>
              <w:right w:val="single" w:color="auto" w:sz="4" w:space="0"/>
            </w:tcBorders>
            <w:vAlign w:val="center"/>
          </w:tcPr>
          <w:p w14:paraId="46959027">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异常处理要求</w:t>
            </w:r>
          </w:p>
        </w:tc>
      </w:tr>
      <w:tr w14:paraId="6CCE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282" w:type="dxa"/>
            <w:tcBorders>
              <w:top w:val="single" w:color="auto" w:sz="4" w:space="0"/>
              <w:left w:val="single" w:color="auto" w:sz="4" w:space="0"/>
              <w:bottom w:val="single" w:color="auto" w:sz="4" w:space="0"/>
              <w:right w:val="single" w:color="auto" w:sz="4" w:space="0"/>
            </w:tcBorders>
            <w:vAlign w:val="center"/>
          </w:tcPr>
          <w:p w14:paraId="61B3ABE9">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锅炉本体</w:t>
            </w:r>
          </w:p>
        </w:tc>
        <w:tc>
          <w:tcPr>
            <w:tcW w:w="1510" w:type="dxa"/>
            <w:tcBorders>
              <w:top w:val="single" w:color="auto" w:sz="4" w:space="0"/>
              <w:left w:val="single" w:color="auto" w:sz="4" w:space="0"/>
              <w:bottom w:val="single" w:color="auto" w:sz="4" w:space="0"/>
              <w:right w:val="single" w:color="auto" w:sz="4" w:space="0"/>
            </w:tcBorders>
            <w:vAlign w:val="center"/>
          </w:tcPr>
          <w:p w14:paraId="5C2EBE9B">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本体清洁与检查</w:t>
            </w:r>
          </w:p>
        </w:tc>
        <w:tc>
          <w:tcPr>
            <w:tcW w:w="3319" w:type="dxa"/>
            <w:tcBorders>
              <w:top w:val="single" w:color="auto" w:sz="4" w:space="0"/>
              <w:left w:val="single" w:color="auto" w:sz="4" w:space="0"/>
              <w:bottom w:val="single" w:color="auto" w:sz="4" w:space="0"/>
              <w:right w:val="single" w:color="auto" w:sz="4" w:space="0"/>
            </w:tcBorders>
            <w:vAlign w:val="center"/>
          </w:tcPr>
          <w:p w14:paraId="0D828A94">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清理锅炉本体外表面灰尘、油污；2. 检查炉胆、炉管外观，查看有无腐蚀、鼓包、裂纹；3. 检查人孔、手孔密封情况，有无泄漏</w:t>
            </w:r>
          </w:p>
        </w:tc>
        <w:tc>
          <w:tcPr>
            <w:tcW w:w="4192" w:type="dxa"/>
            <w:tcBorders>
              <w:top w:val="single" w:color="auto" w:sz="4" w:space="0"/>
              <w:left w:val="single" w:color="auto" w:sz="4" w:space="0"/>
              <w:bottom w:val="single" w:color="auto" w:sz="4" w:space="0"/>
              <w:right w:val="single" w:color="auto" w:sz="4" w:space="0"/>
            </w:tcBorders>
            <w:vAlign w:val="center"/>
          </w:tcPr>
          <w:p w14:paraId="24D23B38">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本体表面无明显积尘、油污；2. 炉胆、炉管无可见腐蚀、鼓包、裂纹；3. 人孔、手孔密封良好，无蒸汽/热水泄漏</w:t>
            </w:r>
          </w:p>
        </w:tc>
        <w:tc>
          <w:tcPr>
            <w:tcW w:w="2041" w:type="dxa"/>
            <w:tcBorders>
              <w:top w:val="single" w:color="auto" w:sz="4" w:space="0"/>
              <w:left w:val="single" w:color="auto" w:sz="4" w:space="0"/>
              <w:bottom w:val="single" w:color="auto" w:sz="4" w:space="0"/>
              <w:right w:val="single" w:color="auto" w:sz="4" w:space="0"/>
            </w:tcBorders>
            <w:vAlign w:val="center"/>
          </w:tcPr>
          <w:p w14:paraId="0FC6FA67">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填写《锅炉月度维保记录表》，详细记录外观检查结果、密封情况</w:t>
            </w:r>
          </w:p>
        </w:tc>
        <w:tc>
          <w:tcPr>
            <w:tcW w:w="3642" w:type="dxa"/>
            <w:tcBorders>
              <w:top w:val="single" w:color="auto" w:sz="4" w:space="0"/>
              <w:left w:val="single" w:color="auto" w:sz="4" w:space="0"/>
              <w:bottom w:val="single" w:color="auto" w:sz="4" w:space="0"/>
              <w:right w:val="single" w:color="auto" w:sz="4" w:space="0"/>
            </w:tcBorders>
            <w:vAlign w:val="center"/>
          </w:tcPr>
          <w:p w14:paraId="733A398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若发现轻微腐蚀，需记录位置、面积，下次维保重点复查；2. 若存在密封泄漏，立即更换密封垫片并重新紧固；3. 若发现鼓包、裂纹，立即停炉，联系专业机构检测，严禁继续使用</w:t>
            </w:r>
          </w:p>
        </w:tc>
      </w:tr>
      <w:tr w14:paraId="691B8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282" w:type="dxa"/>
            <w:tcBorders>
              <w:top w:val="single" w:color="auto" w:sz="4" w:space="0"/>
              <w:left w:val="single" w:color="auto" w:sz="4" w:space="0"/>
              <w:bottom w:val="single" w:color="auto" w:sz="4" w:space="0"/>
              <w:right w:val="single" w:color="auto" w:sz="4" w:space="0"/>
            </w:tcBorders>
            <w:vAlign w:val="center"/>
          </w:tcPr>
          <w:p w14:paraId="5D9C70B0">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燃烧系统</w:t>
            </w:r>
          </w:p>
        </w:tc>
        <w:tc>
          <w:tcPr>
            <w:tcW w:w="1510" w:type="dxa"/>
            <w:tcBorders>
              <w:top w:val="single" w:color="auto" w:sz="4" w:space="0"/>
              <w:left w:val="single" w:color="auto" w:sz="4" w:space="0"/>
              <w:bottom w:val="single" w:color="auto" w:sz="4" w:space="0"/>
              <w:right w:val="single" w:color="auto" w:sz="4" w:space="0"/>
            </w:tcBorders>
            <w:vAlign w:val="center"/>
          </w:tcPr>
          <w:p w14:paraId="5E0F27D0">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燃烧器维护</w:t>
            </w:r>
          </w:p>
        </w:tc>
        <w:tc>
          <w:tcPr>
            <w:tcW w:w="3319" w:type="dxa"/>
            <w:tcBorders>
              <w:top w:val="single" w:color="auto" w:sz="4" w:space="0"/>
              <w:left w:val="single" w:color="auto" w:sz="4" w:space="0"/>
              <w:bottom w:val="single" w:color="auto" w:sz="4" w:space="0"/>
              <w:right w:val="single" w:color="auto" w:sz="4" w:space="0"/>
            </w:tcBorders>
            <w:vAlign w:val="center"/>
          </w:tcPr>
          <w:p w14:paraId="0768D02D">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拆卸燃烧器火焰探测器（光电管/紫外线探头），用酒精清洁探头表面；2. 检查燃烧器喷嘴、点火电极，清理积碳；3. 检查燃气阀组密封性，用肥皂水测试接口</w:t>
            </w:r>
          </w:p>
        </w:tc>
        <w:tc>
          <w:tcPr>
            <w:tcW w:w="4192" w:type="dxa"/>
            <w:tcBorders>
              <w:top w:val="single" w:color="auto" w:sz="4" w:space="0"/>
              <w:left w:val="single" w:color="auto" w:sz="4" w:space="0"/>
              <w:bottom w:val="single" w:color="auto" w:sz="4" w:space="0"/>
              <w:right w:val="single" w:color="auto" w:sz="4" w:space="0"/>
            </w:tcBorders>
            <w:vAlign w:val="center"/>
          </w:tcPr>
          <w:p w14:paraId="51BC2008">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火焰探测器清洁后，信号检测正常（设备显示无故障）；2. 喷嘴、电极无积碳，点火火花强劲、稳定；3. 燃气阀组接口无气泡（无泄漏）</w:t>
            </w:r>
          </w:p>
        </w:tc>
        <w:tc>
          <w:tcPr>
            <w:tcW w:w="2041" w:type="dxa"/>
            <w:tcBorders>
              <w:top w:val="single" w:color="auto" w:sz="4" w:space="0"/>
              <w:left w:val="single" w:color="auto" w:sz="4" w:space="0"/>
              <w:bottom w:val="single" w:color="auto" w:sz="4" w:space="0"/>
              <w:right w:val="single" w:color="auto" w:sz="4" w:space="0"/>
            </w:tcBorders>
            <w:vAlign w:val="center"/>
          </w:tcPr>
          <w:p w14:paraId="41748B60">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记录燃烧器清洁过程、检测数据（如点火电压）、密封测试结果</w:t>
            </w:r>
          </w:p>
        </w:tc>
        <w:tc>
          <w:tcPr>
            <w:tcW w:w="3642" w:type="dxa"/>
            <w:tcBorders>
              <w:top w:val="single" w:color="auto" w:sz="4" w:space="0"/>
              <w:left w:val="single" w:color="auto" w:sz="4" w:space="0"/>
              <w:bottom w:val="single" w:color="auto" w:sz="4" w:space="0"/>
              <w:right w:val="single" w:color="auto" w:sz="4" w:space="0"/>
            </w:tcBorders>
            <w:vAlign w:val="center"/>
          </w:tcPr>
          <w:p w14:paraId="67B8F90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若火焰探测器信号异常，更换探头；2. 若喷嘴积碳严重无法清理，更换喷嘴；3. 若燃气阀组泄漏，关闭燃气总阀，更换密封件并重新测试，合格后方可启用</w:t>
            </w:r>
          </w:p>
        </w:tc>
      </w:tr>
      <w:tr w14:paraId="7245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282" w:type="dxa"/>
            <w:tcBorders>
              <w:top w:val="single" w:color="auto" w:sz="4" w:space="0"/>
              <w:left w:val="single" w:color="auto" w:sz="4" w:space="0"/>
              <w:bottom w:val="single" w:color="auto" w:sz="4" w:space="0"/>
              <w:right w:val="single" w:color="auto" w:sz="4" w:space="0"/>
            </w:tcBorders>
            <w:vAlign w:val="center"/>
          </w:tcPr>
          <w:p w14:paraId="05EF44E1">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水循环/水汽系统</w:t>
            </w:r>
          </w:p>
        </w:tc>
        <w:tc>
          <w:tcPr>
            <w:tcW w:w="1510" w:type="dxa"/>
            <w:tcBorders>
              <w:top w:val="single" w:color="auto" w:sz="4" w:space="0"/>
              <w:left w:val="single" w:color="auto" w:sz="4" w:space="0"/>
              <w:bottom w:val="single" w:color="auto" w:sz="4" w:space="0"/>
              <w:right w:val="single" w:color="auto" w:sz="4" w:space="0"/>
            </w:tcBorders>
            <w:vAlign w:val="center"/>
          </w:tcPr>
          <w:p w14:paraId="63176CAC">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水泵维护</w:t>
            </w:r>
          </w:p>
        </w:tc>
        <w:tc>
          <w:tcPr>
            <w:tcW w:w="3319" w:type="dxa"/>
            <w:tcBorders>
              <w:top w:val="single" w:color="auto" w:sz="4" w:space="0"/>
              <w:left w:val="single" w:color="auto" w:sz="4" w:space="0"/>
              <w:bottom w:val="single" w:color="auto" w:sz="4" w:space="0"/>
              <w:right w:val="single" w:color="auto" w:sz="4" w:space="0"/>
            </w:tcBorders>
            <w:vAlign w:val="center"/>
          </w:tcPr>
          <w:p w14:paraId="406E8A76">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检查给水泵/循环泵/补水泵轴承温度，添加润滑脂（若不足）；2. 检查泵体密封填料，查看有无渗漏；3. 测试水泵启停功能及运行电流</w:t>
            </w:r>
          </w:p>
        </w:tc>
        <w:tc>
          <w:tcPr>
            <w:tcW w:w="4192" w:type="dxa"/>
            <w:tcBorders>
              <w:top w:val="single" w:color="auto" w:sz="4" w:space="0"/>
              <w:left w:val="single" w:color="auto" w:sz="4" w:space="0"/>
              <w:bottom w:val="single" w:color="auto" w:sz="4" w:space="0"/>
              <w:right w:val="single" w:color="auto" w:sz="4" w:space="0"/>
            </w:tcBorders>
            <w:vAlign w:val="center"/>
          </w:tcPr>
          <w:p w14:paraId="6D7EC20C">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轴承温度≤75℃，润滑脂充足且无变质；2. 密封填料渗漏量≤10滴/分钟；3. 水泵启停正常，运行电流在额定范围±5%内</w:t>
            </w:r>
          </w:p>
        </w:tc>
        <w:tc>
          <w:tcPr>
            <w:tcW w:w="2041" w:type="dxa"/>
            <w:tcBorders>
              <w:top w:val="single" w:color="auto" w:sz="4" w:space="0"/>
              <w:left w:val="single" w:color="auto" w:sz="4" w:space="0"/>
              <w:bottom w:val="single" w:color="auto" w:sz="4" w:space="0"/>
              <w:right w:val="single" w:color="auto" w:sz="4" w:space="0"/>
            </w:tcBorders>
            <w:vAlign w:val="center"/>
          </w:tcPr>
          <w:p w14:paraId="545AED56">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记录水泵轴承温度、润滑脂添加量、密封渗漏情况、运行电流</w:t>
            </w:r>
          </w:p>
        </w:tc>
        <w:tc>
          <w:tcPr>
            <w:tcW w:w="3642" w:type="dxa"/>
            <w:tcBorders>
              <w:top w:val="single" w:color="auto" w:sz="4" w:space="0"/>
              <w:left w:val="single" w:color="auto" w:sz="4" w:space="0"/>
              <w:bottom w:val="single" w:color="auto" w:sz="4" w:space="0"/>
              <w:right w:val="single" w:color="auto" w:sz="4" w:space="0"/>
            </w:tcBorders>
            <w:vAlign w:val="center"/>
          </w:tcPr>
          <w:p w14:paraId="3C12BE6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若轴承温度过高，检查润滑脂是否变质，必要时更换轴承；2. 若密封渗漏超标，调整填料压盖或更换填料；3. 若电流异常，检查电机绕组绝缘，必要时联系电机维修单位</w:t>
            </w:r>
          </w:p>
        </w:tc>
      </w:tr>
      <w:tr w14:paraId="093E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282" w:type="dxa"/>
            <w:tcBorders>
              <w:top w:val="single" w:color="auto" w:sz="4" w:space="0"/>
              <w:left w:val="single" w:color="auto" w:sz="4" w:space="0"/>
              <w:bottom w:val="single" w:color="auto" w:sz="4" w:space="0"/>
              <w:right w:val="single" w:color="auto" w:sz="4" w:space="0"/>
            </w:tcBorders>
            <w:vAlign w:val="center"/>
          </w:tcPr>
          <w:p w14:paraId="60489A42">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安全附件</w:t>
            </w:r>
          </w:p>
        </w:tc>
        <w:tc>
          <w:tcPr>
            <w:tcW w:w="1510" w:type="dxa"/>
            <w:tcBorders>
              <w:top w:val="single" w:color="auto" w:sz="4" w:space="0"/>
              <w:left w:val="single" w:color="auto" w:sz="4" w:space="0"/>
              <w:bottom w:val="single" w:color="auto" w:sz="4" w:space="0"/>
              <w:right w:val="single" w:color="auto" w:sz="4" w:space="0"/>
            </w:tcBorders>
            <w:vAlign w:val="center"/>
          </w:tcPr>
          <w:p w14:paraId="0C5ECDCB">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安全阀/压力表检查</w:t>
            </w:r>
          </w:p>
        </w:tc>
        <w:tc>
          <w:tcPr>
            <w:tcW w:w="3319" w:type="dxa"/>
            <w:tcBorders>
              <w:top w:val="single" w:color="auto" w:sz="4" w:space="0"/>
              <w:left w:val="single" w:color="auto" w:sz="4" w:space="0"/>
              <w:bottom w:val="single" w:color="auto" w:sz="4" w:space="0"/>
              <w:right w:val="single" w:color="auto" w:sz="4" w:space="0"/>
            </w:tcBorders>
            <w:vAlign w:val="center"/>
          </w:tcPr>
          <w:p w14:paraId="282CB788">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检查安全阀铅封完整性，手动试验安全阀起跳灵活性（蒸汽锅炉缓慢开启手动排气阀，热水锅炉按规程测试）；2. 检查压力表指针灵活性，与标准压力表比对误差</w:t>
            </w:r>
          </w:p>
        </w:tc>
        <w:tc>
          <w:tcPr>
            <w:tcW w:w="4192" w:type="dxa"/>
            <w:tcBorders>
              <w:top w:val="single" w:color="auto" w:sz="4" w:space="0"/>
              <w:left w:val="single" w:color="auto" w:sz="4" w:space="0"/>
              <w:bottom w:val="single" w:color="auto" w:sz="4" w:space="0"/>
              <w:right w:val="single" w:color="auto" w:sz="4" w:space="0"/>
            </w:tcBorders>
            <w:vAlign w:val="center"/>
          </w:tcPr>
          <w:p w14:paraId="4BFD8430">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安全阀铅封完好，手动试验时起跳、回座正常；2. 压力表误差≤1.6级精度允许范围（如量程0-2.5MPa，误差≤0.04MPa）</w:t>
            </w:r>
          </w:p>
        </w:tc>
        <w:tc>
          <w:tcPr>
            <w:tcW w:w="2041" w:type="dxa"/>
            <w:tcBorders>
              <w:top w:val="single" w:color="auto" w:sz="4" w:space="0"/>
              <w:left w:val="single" w:color="auto" w:sz="4" w:space="0"/>
              <w:bottom w:val="single" w:color="auto" w:sz="4" w:space="0"/>
              <w:right w:val="single" w:color="auto" w:sz="4" w:space="0"/>
            </w:tcBorders>
            <w:vAlign w:val="center"/>
          </w:tcPr>
          <w:p w14:paraId="6D05A62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记录安全阀铅封状态、手动试验结果，压力表比对数据、误差值</w:t>
            </w:r>
          </w:p>
        </w:tc>
        <w:tc>
          <w:tcPr>
            <w:tcW w:w="3642" w:type="dxa"/>
            <w:tcBorders>
              <w:top w:val="single" w:color="auto" w:sz="4" w:space="0"/>
              <w:left w:val="single" w:color="auto" w:sz="4" w:space="0"/>
              <w:bottom w:val="single" w:color="auto" w:sz="4" w:space="0"/>
              <w:right w:val="single" w:color="auto" w:sz="4" w:space="0"/>
            </w:tcBorders>
            <w:vAlign w:val="center"/>
          </w:tcPr>
          <w:p w14:paraId="42789E9B">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若安全阀铅封破损或起跳异常，立即停用，联系具备资质单位重新校验；2. 若压力表误差超标，更换压力表并送检定机构检定</w:t>
            </w:r>
          </w:p>
        </w:tc>
      </w:tr>
      <w:tr w14:paraId="3E3E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282" w:type="dxa"/>
            <w:tcBorders>
              <w:top w:val="single" w:color="auto" w:sz="4" w:space="0"/>
              <w:left w:val="single" w:color="auto" w:sz="4" w:space="0"/>
              <w:bottom w:val="single" w:color="auto" w:sz="4" w:space="0"/>
              <w:right w:val="single" w:color="auto" w:sz="4" w:space="0"/>
            </w:tcBorders>
            <w:vAlign w:val="center"/>
          </w:tcPr>
          <w:p w14:paraId="4985F3EE">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水处理系统</w:t>
            </w:r>
          </w:p>
        </w:tc>
        <w:tc>
          <w:tcPr>
            <w:tcW w:w="1510" w:type="dxa"/>
            <w:tcBorders>
              <w:top w:val="single" w:color="auto" w:sz="4" w:space="0"/>
              <w:left w:val="single" w:color="auto" w:sz="4" w:space="0"/>
              <w:bottom w:val="single" w:color="auto" w:sz="4" w:space="0"/>
              <w:right w:val="single" w:color="auto" w:sz="4" w:space="0"/>
            </w:tcBorders>
            <w:vAlign w:val="center"/>
          </w:tcPr>
          <w:p w14:paraId="0719411F">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软水器/除氧器维护</w:t>
            </w:r>
          </w:p>
        </w:tc>
        <w:tc>
          <w:tcPr>
            <w:tcW w:w="3319" w:type="dxa"/>
            <w:tcBorders>
              <w:top w:val="single" w:color="auto" w:sz="4" w:space="0"/>
              <w:left w:val="single" w:color="auto" w:sz="4" w:space="0"/>
              <w:bottom w:val="single" w:color="auto" w:sz="4" w:space="0"/>
              <w:right w:val="single" w:color="auto" w:sz="4" w:space="0"/>
            </w:tcBorders>
            <w:vAlign w:val="center"/>
          </w:tcPr>
          <w:p w14:paraId="11CEE09B">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检查软水器树脂状态，查看有无污染、老化；2. 手动触发软水器再生流程，测试再生阀组运行；3. 检查除氧器加热元件，测试温控功能</w:t>
            </w:r>
          </w:p>
        </w:tc>
        <w:tc>
          <w:tcPr>
            <w:tcW w:w="4192" w:type="dxa"/>
            <w:tcBorders>
              <w:top w:val="single" w:color="auto" w:sz="4" w:space="0"/>
              <w:left w:val="single" w:color="auto" w:sz="4" w:space="0"/>
              <w:bottom w:val="single" w:color="auto" w:sz="4" w:space="0"/>
              <w:right w:val="single" w:color="auto" w:sz="4" w:space="0"/>
            </w:tcBorders>
            <w:vAlign w:val="center"/>
          </w:tcPr>
          <w:p w14:paraId="6F8CEE3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树脂无明显发黑、结块（污染）；2. 软水器再生流程正常，再生后出水硬度≤0.03mmol/L；3. 除氧器加热正常，水温能达到104℃（蒸汽锅炉），含氧量≤0.05mg/L</w:t>
            </w:r>
          </w:p>
        </w:tc>
        <w:tc>
          <w:tcPr>
            <w:tcW w:w="2041" w:type="dxa"/>
            <w:tcBorders>
              <w:top w:val="single" w:color="auto" w:sz="4" w:space="0"/>
              <w:left w:val="single" w:color="auto" w:sz="4" w:space="0"/>
              <w:bottom w:val="single" w:color="auto" w:sz="4" w:space="0"/>
              <w:right w:val="single" w:color="auto" w:sz="4" w:space="0"/>
            </w:tcBorders>
            <w:vAlign w:val="center"/>
          </w:tcPr>
          <w:p w14:paraId="1FEA2F81">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记录树脂外观、软水器再生时间、出水硬度数据、除氧器水温及含氧量</w:t>
            </w:r>
          </w:p>
        </w:tc>
        <w:tc>
          <w:tcPr>
            <w:tcW w:w="3642" w:type="dxa"/>
            <w:tcBorders>
              <w:top w:val="single" w:color="auto" w:sz="4" w:space="0"/>
              <w:left w:val="single" w:color="auto" w:sz="4" w:space="0"/>
              <w:bottom w:val="single" w:color="auto" w:sz="4" w:space="0"/>
              <w:right w:val="single" w:color="auto" w:sz="4" w:space="0"/>
            </w:tcBorders>
            <w:vAlign w:val="center"/>
          </w:tcPr>
          <w:p w14:paraId="01C5112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若树脂污染，进行树脂再生处理；若老化严重，更换树脂；2. 若软水器再生故障，排查控制阀或管路，修复后重新测试出水硬度；3. 若除氧器加热异常，检查加热元件、温控器，必要时更换配件</w:t>
            </w:r>
          </w:p>
        </w:tc>
      </w:tr>
    </w:tbl>
    <w:p w14:paraId="44073BB4">
      <w:pPr>
        <w:spacing w:before="120" w:after="120" w:line="288" w:lineRule="auto"/>
        <w:ind w:left="0"/>
        <w:jc w:val="left"/>
        <w:rPr>
          <w:rFonts w:hint="eastAsia" w:ascii="方正仿宋_GB18030" w:hAnsi="方正仿宋_GB18030" w:eastAsia="方正仿宋_GB18030" w:cs="方正仿宋_GB18030"/>
          <w:b/>
          <w:bCs/>
          <w:sz w:val="20"/>
          <w:szCs w:val="20"/>
        </w:rPr>
      </w:pPr>
    </w:p>
    <w:p w14:paraId="37BFB7D4">
      <w:pPr>
        <w:widowControl w:val="0"/>
        <w:ind w:firstLine="420"/>
        <w:jc w:val="both"/>
        <w:rPr>
          <w:rFonts w:hint="eastAsia" w:ascii="方正仿宋_GB18030" w:hAnsi="方正仿宋_GB18030" w:eastAsia="方正仿宋_GB18030" w:cs="方正仿宋_GB18030"/>
          <w:kern w:val="2"/>
          <w:sz w:val="20"/>
          <w:szCs w:val="20"/>
          <w:lang w:val="en-US" w:eastAsia="zh-CN" w:bidi="ar-SA"/>
        </w:rPr>
      </w:pPr>
    </w:p>
    <w:p w14:paraId="78A9CBA7">
      <w:pPr>
        <w:spacing w:before="120" w:after="120" w:line="288" w:lineRule="auto"/>
        <w:ind w:left="0"/>
        <w:jc w:val="left"/>
        <w:rPr>
          <w:rFonts w:hint="eastAsia" w:ascii="方正仿宋_GB18030" w:hAnsi="方正仿宋_GB18030" w:eastAsia="方正仿宋_GB18030" w:cs="方正仿宋_GB18030"/>
          <w:b/>
          <w:bCs/>
          <w:sz w:val="20"/>
          <w:szCs w:val="20"/>
        </w:rPr>
      </w:pPr>
    </w:p>
    <w:p w14:paraId="6EBCF06B">
      <w:pPr>
        <w:spacing w:before="120" w:after="120" w:line="288" w:lineRule="auto"/>
        <w:ind w:left="0"/>
        <w:jc w:val="left"/>
        <w:rPr>
          <w:rFonts w:hint="eastAsia" w:ascii="方正仿宋_GB18030" w:hAnsi="方正仿宋_GB18030" w:eastAsia="方正仿宋_GB18030" w:cs="方正仿宋_GB18030"/>
          <w:b/>
          <w:bCs/>
          <w:sz w:val="20"/>
          <w:szCs w:val="20"/>
        </w:rPr>
      </w:pPr>
      <w:r>
        <w:rPr>
          <w:rFonts w:hint="eastAsia" w:ascii="方正仿宋_GB18030" w:hAnsi="方正仿宋_GB18030" w:eastAsia="方正仿宋_GB18030" w:cs="方正仿宋_GB18030"/>
          <w:b/>
          <w:bCs/>
          <w:sz w:val="20"/>
          <w:szCs w:val="20"/>
        </w:rPr>
        <w:br w:type="textWrapping"/>
      </w:r>
    </w:p>
    <w:p w14:paraId="4638E96A">
      <w:pPr>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b/>
          <w:bCs/>
          <w:sz w:val="20"/>
          <w:szCs w:val="20"/>
        </w:rPr>
        <w:t>3. 季度维保内容及标准</w:t>
      </w:r>
    </w:p>
    <w:tbl>
      <w:tblPr>
        <w:tblStyle w:val="2"/>
        <w:tblW w:w="158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6" w:type="dxa"/>
          <w:left w:w="96" w:type="dxa"/>
          <w:bottom w:w="56" w:type="dxa"/>
          <w:right w:w="96" w:type="dxa"/>
        </w:tblCellMar>
      </w:tblPr>
      <w:tblGrid>
        <w:gridCol w:w="1508"/>
        <w:gridCol w:w="1403"/>
        <w:gridCol w:w="4192"/>
        <w:gridCol w:w="3443"/>
        <w:gridCol w:w="2243"/>
        <w:gridCol w:w="3104"/>
      </w:tblGrid>
      <w:tr w14:paraId="60E1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tblHeader/>
          <w:jc w:val="center"/>
        </w:trPr>
        <w:tc>
          <w:tcPr>
            <w:tcW w:w="1508" w:type="dxa"/>
            <w:tcBorders>
              <w:top w:val="single" w:color="auto" w:sz="4" w:space="0"/>
              <w:left w:val="single" w:color="auto" w:sz="4" w:space="0"/>
              <w:bottom w:val="single" w:color="auto" w:sz="4" w:space="0"/>
              <w:right w:val="single" w:color="auto" w:sz="4" w:space="0"/>
            </w:tcBorders>
            <w:vAlign w:val="center"/>
          </w:tcPr>
          <w:p w14:paraId="1B20AE5D">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维保区域/系统</w:t>
            </w:r>
          </w:p>
        </w:tc>
        <w:tc>
          <w:tcPr>
            <w:tcW w:w="1403" w:type="dxa"/>
            <w:tcBorders>
              <w:top w:val="single" w:color="auto" w:sz="4" w:space="0"/>
              <w:left w:val="single" w:color="auto" w:sz="4" w:space="0"/>
              <w:bottom w:val="single" w:color="auto" w:sz="4" w:space="0"/>
              <w:right w:val="single" w:color="auto" w:sz="4" w:space="0"/>
            </w:tcBorders>
            <w:vAlign w:val="center"/>
          </w:tcPr>
          <w:p w14:paraId="2C7C5E68">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维保项目</w:t>
            </w:r>
          </w:p>
        </w:tc>
        <w:tc>
          <w:tcPr>
            <w:tcW w:w="4192" w:type="dxa"/>
            <w:tcBorders>
              <w:top w:val="single" w:color="auto" w:sz="4" w:space="0"/>
              <w:left w:val="single" w:color="auto" w:sz="4" w:space="0"/>
              <w:bottom w:val="single" w:color="auto" w:sz="4" w:space="0"/>
              <w:right w:val="single" w:color="auto" w:sz="4" w:space="0"/>
            </w:tcBorders>
            <w:vAlign w:val="center"/>
          </w:tcPr>
          <w:p w14:paraId="65554A74">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具体内容</w:t>
            </w:r>
          </w:p>
        </w:tc>
        <w:tc>
          <w:tcPr>
            <w:tcW w:w="3443" w:type="dxa"/>
            <w:tcBorders>
              <w:top w:val="single" w:color="auto" w:sz="4" w:space="0"/>
              <w:left w:val="single" w:color="auto" w:sz="4" w:space="0"/>
              <w:bottom w:val="single" w:color="auto" w:sz="4" w:space="0"/>
              <w:right w:val="single" w:color="auto" w:sz="4" w:space="0"/>
            </w:tcBorders>
            <w:vAlign w:val="center"/>
          </w:tcPr>
          <w:p w14:paraId="0079820E">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标准/要求</w:t>
            </w:r>
          </w:p>
        </w:tc>
        <w:tc>
          <w:tcPr>
            <w:tcW w:w="2243" w:type="dxa"/>
            <w:tcBorders>
              <w:top w:val="single" w:color="auto" w:sz="4" w:space="0"/>
              <w:left w:val="single" w:color="auto" w:sz="4" w:space="0"/>
              <w:bottom w:val="single" w:color="auto" w:sz="4" w:space="0"/>
              <w:right w:val="single" w:color="auto" w:sz="4" w:space="0"/>
            </w:tcBorders>
            <w:vAlign w:val="center"/>
          </w:tcPr>
          <w:p w14:paraId="4DA2626A">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记录要求</w:t>
            </w:r>
          </w:p>
        </w:tc>
        <w:tc>
          <w:tcPr>
            <w:tcW w:w="3104" w:type="dxa"/>
            <w:tcBorders>
              <w:top w:val="single" w:color="auto" w:sz="4" w:space="0"/>
              <w:left w:val="single" w:color="auto" w:sz="4" w:space="0"/>
              <w:bottom w:val="single" w:color="auto" w:sz="4" w:space="0"/>
              <w:right w:val="single" w:color="auto" w:sz="4" w:space="0"/>
            </w:tcBorders>
            <w:vAlign w:val="center"/>
          </w:tcPr>
          <w:p w14:paraId="2939DF65">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异常处理要求</w:t>
            </w:r>
          </w:p>
        </w:tc>
      </w:tr>
      <w:tr w14:paraId="4449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508" w:type="dxa"/>
            <w:tcBorders>
              <w:top w:val="single" w:color="auto" w:sz="4" w:space="0"/>
              <w:left w:val="single" w:color="auto" w:sz="4" w:space="0"/>
              <w:bottom w:val="single" w:color="auto" w:sz="4" w:space="0"/>
              <w:right w:val="single" w:color="auto" w:sz="4" w:space="0"/>
            </w:tcBorders>
            <w:vAlign w:val="center"/>
          </w:tcPr>
          <w:p w14:paraId="306CBA19">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锅炉本体</w:t>
            </w:r>
          </w:p>
        </w:tc>
        <w:tc>
          <w:tcPr>
            <w:tcW w:w="1403" w:type="dxa"/>
            <w:tcBorders>
              <w:top w:val="single" w:color="auto" w:sz="4" w:space="0"/>
              <w:left w:val="single" w:color="auto" w:sz="4" w:space="0"/>
              <w:bottom w:val="single" w:color="auto" w:sz="4" w:space="0"/>
              <w:right w:val="single" w:color="auto" w:sz="4" w:space="0"/>
            </w:tcBorders>
            <w:vAlign w:val="center"/>
          </w:tcPr>
          <w:p w14:paraId="5C7C5559">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烟管/烟道清理</w:t>
            </w:r>
          </w:p>
        </w:tc>
        <w:tc>
          <w:tcPr>
            <w:tcW w:w="4192" w:type="dxa"/>
            <w:tcBorders>
              <w:top w:val="single" w:color="auto" w:sz="4" w:space="0"/>
              <w:left w:val="single" w:color="auto" w:sz="4" w:space="0"/>
              <w:bottom w:val="single" w:color="auto" w:sz="4" w:space="0"/>
              <w:right w:val="single" w:color="auto" w:sz="4" w:space="0"/>
            </w:tcBorders>
            <w:vAlign w:val="center"/>
          </w:tcPr>
          <w:p w14:paraId="6A6E0C1F">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拆卸烟道挡板，清理烟道内积灰；2. 用压缩空气（0.4-0.6MPa）吹扫锅炉烟管内积灰；3. 检查烟道腐蚀情况</w:t>
            </w:r>
          </w:p>
        </w:tc>
        <w:tc>
          <w:tcPr>
            <w:tcW w:w="3443" w:type="dxa"/>
            <w:tcBorders>
              <w:top w:val="single" w:color="auto" w:sz="4" w:space="0"/>
              <w:left w:val="single" w:color="auto" w:sz="4" w:space="0"/>
              <w:bottom w:val="single" w:color="auto" w:sz="4" w:space="0"/>
              <w:right w:val="single" w:color="auto" w:sz="4" w:space="0"/>
            </w:tcBorders>
            <w:vAlign w:val="center"/>
          </w:tcPr>
          <w:p w14:paraId="0F2621F8">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烟道、烟管内无明显积灰（吹扫后无块状积灰掉落）；2. 烟道内壁无严重腐蚀（无穿孔、大面积锈层）</w:t>
            </w:r>
          </w:p>
        </w:tc>
        <w:tc>
          <w:tcPr>
            <w:tcW w:w="2243" w:type="dxa"/>
            <w:tcBorders>
              <w:top w:val="single" w:color="auto" w:sz="4" w:space="0"/>
              <w:left w:val="single" w:color="auto" w:sz="4" w:space="0"/>
              <w:bottom w:val="single" w:color="auto" w:sz="4" w:space="0"/>
              <w:right w:val="single" w:color="auto" w:sz="4" w:space="0"/>
            </w:tcBorders>
            <w:vAlign w:val="center"/>
          </w:tcPr>
          <w:p w14:paraId="5AFC083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填写《锅炉季度维保记录表》，记录烟道清理情况、烟管通畅度、烟道腐蚀检查结果</w:t>
            </w:r>
          </w:p>
        </w:tc>
        <w:tc>
          <w:tcPr>
            <w:tcW w:w="3104" w:type="dxa"/>
            <w:tcBorders>
              <w:top w:val="single" w:color="auto" w:sz="4" w:space="0"/>
              <w:left w:val="single" w:color="auto" w:sz="4" w:space="0"/>
              <w:bottom w:val="single" w:color="auto" w:sz="4" w:space="0"/>
              <w:right w:val="single" w:color="auto" w:sz="4" w:space="0"/>
            </w:tcBorders>
            <w:vAlign w:val="center"/>
          </w:tcPr>
          <w:p w14:paraId="555771C0">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若烟管积灰难以吹扫，使用专用清灰工具清理，确保烟管通畅；2. 若烟道腐蚀严重，评估是否影响结构安全，必要时更换烟道段</w:t>
            </w:r>
          </w:p>
        </w:tc>
      </w:tr>
      <w:tr w14:paraId="5823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508" w:type="dxa"/>
            <w:tcBorders>
              <w:top w:val="single" w:color="auto" w:sz="4" w:space="0"/>
              <w:left w:val="single" w:color="auto" w:sz="4" w:space="0"/>
              <w:bottom w:val="single" w:color="auto" w:sz="4" w:space="0"/>
              <w:right w:val="single" w:color="auto" w:sz="4" w:space="0"/>
            </w:tcBorders>
            <w:vAlign w:val="center"/>
          </w:tcPr>
          <w:p w14:paraId="5135F603">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燃烧系统</w:t>
            </w:r>
          </w:p>
        </w:tc>
        <w:tc>
          <w:tcPr>
            <w:tcW w:w="1403" w:type="dxa"/>
            <w:tcBorders>
              <w:top w:val="single" w:color="auto" w:sz="4" w:space="0"/>
              <w:left w:val="single" w:color="auto" w:sz="4" w:space="0"/>
              <w:bottom w:val="single" w:color="auto" w:sz="4" w:space="0"/>
              <w:right w:val="single" w:color="auto" w:sz="4" w:space="0"/>
            </w:tcBorders>
            <w:vAlign w:val="center"/>
          </w:tcPr>
          <w:p w14:paraId="50914E4B">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燃气管道与过滤器维护</w:t>
            </w:r>
          </w:p>
        </w:tc>
        <w:tc>
          <w:tcPr>
            <w:tcW w:w="4192" w:type="dxa"/>
            <w:tcBorders>
              <w:top w:val="single" w:color="auto" w:sz="4" w:space="0"/>
              <w:left w:val="single" w:color="auto" w:sz="4" w:space="0"/>
              <w:bottom w:val="single" w:color="auto" w:sz="4" w:space="0"/>
              <w:right w:val="single" w:color="auto" w:sz="4" w:space="0"/>
            </w:tcBorders>
            <w:vAlign w:val="center"/>
          </w:tcPr>
          <w:p w14:paraId="75C1E480">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拆卸燃气过滤器，清理滤芯内杂质；2. 检查燃气管道支架，查看有无松动、变形；3. 测试燃气紧急切断阀动作可靠性（触发紧急按钮，检查阀门是否关闭）</w:t>
            </w:r>
          </w:p>
        </w:tc>
        <w:tc>
          <w:tcPr>
            <w:tcW w:w="3443" w:type="dxa"/>
            <w:tcBorders>
              <w:top w:val="single" w:color="auto" w:sz="4" w:space="0"/>
              <w:left w:val="single" w:color="auto" w:sz="4" w:space="0"/>
              <w:bottom w:val="single" w:color="auto" w:sz="4" w:space="0"/>
              <w:right w:val="single" w:color="auto" w:sz="4" w:space="0"/>
            </w:tcBorders>
            <w:vAlign w:val="center"/>
          </w:tcPr>
          <w:p w14:paraId="1E1A1474">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滤芯清洁无杂质，燃气流通顺畅；2. 管道支架牢固，无松动、变形；3. 紧急切断阀触发后10秒内完全关闭</w:t>
            </w:r>
          </w:p>
        </w:tc>
        <w:tc>
          <w:tcPr>
            <w:tcW w:w="2243" w:type="dxa"/>
            <w:tcBorders>
              <w:top w:val="single" w:color="auto" w:sz="4" w:space="0"/>
              <w:left w:val="single" w:color="auto" w:sz="4" w:space="0"/>
              <w:bottom w:val="single" w:color="auto" w:sz="4" w:space="0"/>
              <w:right w:val="single" w:color="auto" w:sz="4" w:space="0"/>
            </w:tcBorders>
            <w:vAlign w:val="center"/>
          </w:tcPr>
          <w:p w14:paraId="394C1FAE">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记录滤芯清洁情况、管道支架检查结果、紧急切断阀动作时间</w:t>
            </w:r>
          </w:p>
        </w:tc>
        <w:tc>
          <w:tcPr>
            <w:tcW w:w="3104" w:type="dxa"/>
            <w:tcBorders>
              <w:top w:val="single" w:color="auto" w:sz="4" w:space="0"/>
              <w:left w:val="single" w:color="auto" w:sz="4" w:space="0"/>
              <w:bottom w:val="single" w:color="auto" w:sz="4" w:space="0"/>
              <w:right w:val="single" w:color="auto" w:sz="4" w:space="0"/>
            </w:tcBorders>
            <w:vAlign w:val="center"/>
          </w:tcPr>
          <w:p w14:paraId="2EC62CC8">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若滤芯破损，更换同型号滤芯；2. 若支架松动，重新紧固；若变形，更换支架；3. 若紧急切断阀动作迟缓或无法关闭，立即停用燃烧系统，维修或更换阀门</w:t>
            </w:r>
          </w:p>
        </w:tc>
      </w:tr>
      <w:tr w14:paraId="235B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508" w:type="dxa"/>
            <w:tcBorders>
              <w:top w:val="single" w:color="auto" w:sz="4" w:space="0"/>
              <w:left w:val="single" w:color="auto" w:sz="4" w:space="0"/>
              <w:bottom w:val="single" w:color="auto" w:sz="4" w:space="0"/>
              <w:right w:val="single" w:color="auto" w:sz="4" w:space="0"/>
            </w:tcBorders>
            <w:vAlign w:val="center"/>
          </w:tcPr>
          <w:p w14:paraId="2D0D24B2">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电气控制系统</w:t>
            </w:r>
          </w:p>
        </w:tc>
        <w:tc>
          <w:tcPr>
            <w:tcW w:w="1403" w:type="dxa"/>
            <w:tcBorders>
              <w:top w:val="single" w:color="auto" w:sz="4" w:space="0"/>
              <w:left w:val="single" w:color="auto" w:sz="4" w:space="0"/>
              <w:bottom w:val="single" w:color="auto" w:sz="4" w:space="0"/>
              <w:right w:val="single" w:color="auto" w:sz="4" w:space="0"/>
            </w:tcBorders>
            <w:vAlign w:val="center"/>
          </w:tcPr>
          <w:p w14:paraId="2A86FB35">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控制箱与线路检查</w:t>
            </w:r>
          </w:p>
        </w:tc>
        <w:tc>
          <w:tcPr>
            <w:tcW w:w="4192" w:type="dxa"/>
            <w:tcBorders>
              <w:top w:val="single" w:color="auto" w:sz="4" w:space="0"/>
              <w:left w:val="single" w:color="auto" w:sz="4" w:space="0"/>
              <w:bottom w:val="single" w:color="auto" w:sz="4" w:space="0"/>
              <w:right w:val="single" w:color="auto" w:sz="4" w:space="0"/>
            </w:tcBorders>
            <w:vAlign w:val="center"/>
          </w:tcPr>
          <w:p w14:paraId="3F9B7363">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打开控制箱，清理内部灰尘；2. 检查接触器、继电器触点，查看有无烧蚀；3. 检查线路接头，有无松动、氧化；4. 测试控制系统报警功能（如超压、缺水报警）</w:t>
            </w:r>
          </w:p>
        </w:tc>
        <w:tc>
          <w:tcPr>
            <w:tcW w:w="3443" w:type="dxa"/>
            <w:tcBorders>
              <w:top w:val="single" w:color="auto" w:sz="4" w:space="0"/>
              <w:left w:val="single" w:color="auto" w:sz="4" w:space="0"/>
              <w:bottom w:val="single" w:color="auto" w:sz="4" w:space="0"/>
              <w:right w:val="single" w:color="auto" w:sz="4" w:space="0"/>
            </w:tcBorders>
            <w:vAlign w:val="center"/>
          </w:tcPr>
          <w:p w14:paraId="39D12EE6">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控制箱内无明显积尘；2. 触点无明显烧蚀（若有轻微烧蚀，用细砂纸打磨）；3. 线路接头牢固、无氧化；4. 报警功能正常（触发报警后，声光报警启动，锅炉停机）</w:t>
            </w:r>
          </w:p>
        </w:tc>
        <w:tc>
          <w:tcPr>
            <w:tcW w:w="2243" w:type="dxa"/>
            <w:tcBorders>
              <w:top w:val="single" w:color="auto" w:sz="4" w:space="0"/>
              <w:left w:val="single" w:color="auto" w:sz="4" w:space="0"/>
              <w:bottom w:val="single" w:color="auto" w:sz="4" w:space="0"/>
              <w:right w:val="single" w:color="auto" w:sz="4" w:space="0"/>
            </w:tcBorders>
            <w:vAlign w:val="center"/>
          </w:tcPr>
          <w:p w14:paraId="7A99AB64">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记录控制箱清洁情况、触点状态、线路检查结果、报警测试情况</w:t>
            </w:r>
          </w:p>
        </w:tc>
        <w:tc>
          <w:tcPr>
            <w:tcW w:w="3104" w:type="dxa"/>
            <w:tcBorders>
              <w:top w:val="single" w:color="auto" w:sz="4" w:space="0"/>
              <w:left w:val="single" w:color="auto" w:sz="4" w:space="0"/>
              <w:bottom w:val="single" w:color="auto" w:sz="4" w:space="0"/>
              <w:right w:val="single" w:color="auto" w:sz="4" w:space="0"/>
            </w:tcBorders>
            <w:vAlign w:val="center"/>
          </w:tcPr>
          <w:p w14:paraId="5DE02CBC">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若触点烧蚀严重，更换接触器/继电器；2. 若线路接头氧化，清理氧化层并重新紧固；3. 若报警功能失效，排查传感器、线路或控制器，修复后重新测试</w:t>
            </w:r>
          </w:p>
        </w:tc>
      </w:tr>
      <w:tr w14:paraId="79C2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508" w:type="dxa"/>
            <w:tcBorders>
              <w:top w:val="single" w:color="auto" w:sz="4" w:space="0"/>
              <w:left w:val="single" w:color="auto" w:sz="4" w:space="0"/>
              <w:bottom w:val="single" w:color="auto" w:sz="4" w:space="0"/>
              <w:right w:val="single" w:color="auto" w:sz="4" w:space="0"/>
            </w:tcBorders>
            <w:vAlign w:val="center"/>
          </w:tcPr>
          <w:p w14:paraId="6112844C">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水循环/水汽系统</w:t>
            </w:r>
          </w:p>
        </w:tc>
        <w:tc>
          <w:tcPr>
            <w:tcW w:w="1403" w:type="dxa"/>
            <w:tcBorders>
              <w:top w:val="single" w:color="auto" w:sz="4" w:space="0"/>
              <w:left w:val="single" w:color="auto" w:sz="4" w:space="0"/>
              <w:bottom w:val="single" w:color="auto" w:sz="4" w:space="0"/>
              <w:right w:val="single" w:color="auto" w:sz="4" w:space="0"/>
            </w:tcBorders>
            <w:vAlign w:val="center"/>
          </w:tcPr>
          <w:p w14:paraId="12B1692E">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阀门维护</w:t>
            </w:r>
          </w:p>
        </w:tc>
        <w:tc>
          <w:tcPr>
            <w:tcW w:w="4192" w:type="dxa"/>
            <w:tcBorders>
              <w:top w:val="single" w:color="auto" w:sz="4" w:space="0"/>
              <w:left w:val="single" w:color="auto" w:sz="4" w:space="0"/>
              <w:bottom w:val="single" w:color="auto" w:sz="4" w:space="0"/>
              <w:right w:val="single" w:color="auto" w:sz="4" w:space="0"/>
            </w:tcBorders>
            <w:vAlign w:val="center"/>
          </w:tcPr>
          <w:p w14:paraId="2C3A1281">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检查锅炉进出口阀门、排污阀开关灵活性；2. 对阀门丝杆涂抹防锈油脂；3. 测试排污阀密封性（关闭后无渗漏）</w:t>
            </w:r>
          </w:p>
        </w:tc>
        <w:tc>
          <w:tcPr>
            <w:tcW w:w="3443" w:type="dxa"/>
            <w:tcBorders>
              <w:top w:val="single" w:color="auto" w:sz="4" w:space="0"/>
              <w:left w:val="single" w:color="auto" w:sz="4" w:space="0"/>
              <w:bottom w:val="single" w:color="auto" w:sz="4" w:space="0"/>
              <w:right w:val="single" w:color="auto" w:sz="4" w:space="0"/>
            </w:tcBorders>
            <w:vAlign w:val="center"/>
          </w:tcPr>
          <w:p w14:paraId="560E770D">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阀门开关无卡滞，操作顺畅；2. 丝杆无锈蚀，防锈油脂均匀；3. 排污阀关闭后，阀后管道无渗漏</w:t>
            </w:r>
          </w:p>
        </w:tc>
        <w:tc>
          <w:tcPr>
            <w:tcW w:w="2243" w:type="dxa"/>
            <w:tcBorders>
              <w:top w:val="single" w:color="auto" w:sz="4" w:space="0"/>
              <w:left w:val="single" w:color="auto" w:sz="4" w:space="0"/>
              <w:bottom w:val="single" w:color="auto" w:sz="4" w:space="0"/>
              <w:right w:val="single" w:color="auto" w:sz="4" w:space="0"/>
            </w:tcBorders>
            <w:vAlign w:val="center"/>
          </w:tcPr>
          <w:p w14:paraId="6C852767">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记录阀门开关状态、丝杆防锈处理情况、排污阀密封测试结果</w:t>
            </w:r>
          </w:p>
        </w:tc>
        <w:tc>
          <w:tcPr>
            <w:tcW w:w="3104" w:type="dxa"/>
            <w:tcBorders>
              <w:top w:val="single" w:color="auto" w:sz="4" w:space="0"/>
              <w:left w:val="single" w:color="auto" w:sz="4" w:space="0"/>
              <w:bottom w:val="single" w:color="auto" w:sz="4" w:space="0"/>
              <w:right w:val="single" w:color="auto" w:sz="4" w:space="0"/>
            </w:tcBorders>
            <w:vAlign w:val="center"/>
          </w:tcPr>
          <w:p w14:paraId="16EA6C81">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若阀门开关卡滞，拆解阀门清理阀芯杂质；若无法修复，更换阀门；2. 若排污阀渗漏，研磨阀芯或更换密封件，确保密封良好</w:t>
            </w:r>
          </w:p>
        </w:tc>
      </w:tr>
    </w:tbl>
    <w:p w14:paraId="0D24A3EE">
      <w:pPr>
        <w:spacing w:before="120" w:after="120" w:line="288" w:lineRule="auto"/>
        <w:ind w:left="0"/>
        <w:jc w:val="left"/>
        <w:rPr>
          <w:rFonts w:hint="eastAsia" w:ascii="方正仿宋_GB18030" w:hAnsi="方正仿宋_GB18030" w:eastAsia="方正仿宋_GB18030" w:cs="方正仿宋_GB18030"/>
          <w:b/>
          <w:bCs/>
          <w:sz w:val="20"/>
          <w:szCs w:val="20"/>
        </w:rPr>
      </w:pPr>
    </w:p>
    <w:p w14:paraId="1CD1534C">
      <w:pPr>
        <w:spacing w:before="120" w:after="120" w:line="288" w:lineRule="auto"/>
        <w:ind w:left="0"/>
        <w:jc w:val="left"/>
        <w:rPr>
          <w:rFonts w:hint="eastAsia" w:ascii="方正仿宋_GB18030" w:hAnsi="方正仿宋_GB18030" w:eastAsia="方正仿宋_GB18030" w:cs="方正仿宋_GB18030"/>
          <w:b/>
          <w:bCs/>
          <w:sz w:val="20"/>
          <w:szCs w:val="20"/>
        </w:rPr>
      </w:pPr>
    </w:p>
    <w:p w14:paraId="10BBFE31">
      <w:pPr>
        <w:spacing w:before="120" w:after="120" w:line="288" w:lineRule="auto"/>
        <w:ind w:left="0"/>
        <w:jc w:val="left"/>
        <w:rPr>
          <w:rFonts w:hint="eastAsia" w:ascii="方正仿宋_GB18030" w:hAnsi="方正仿宋_GB18030" w:eastAsia="方正仿宋_GB18030" w:cs="方正仿宋_GB18030"/>
          <w:b/>
          <w:bCs/>
          <w:sz w:val="20"/>
          <w:szCs w:val="20"/>
        </w:rPr>
      </w:pPr>
    </w:p>
    <w:p w14:paraId="10C7CFCD">
      <w:pPr>
        <w:spacing w:before="120" w:after="120" w:line="288" w:lineRule="auto"/>
        <w:ind w:left="0"/>
        <w:jc w:val="left"/>
        <w:rPr>
          <w:rFonts w:hint="eastAsia" w:ascii="方正仿宋_GB18030" w:hAnsi="方正仿宋_GB18030" w:eastAsia="方正仿宋_GB18030" w:cs="方正仿宋_GB18030"/>
          <w:b/>
          <w:bCs/>
          <w:sz w:val="20"/>
          <w:szCs w:val="20"/>
        </w:rPr>
      </w:pPr>
    </w:p>
    <w:p w14:paraId="33BD1401">
      <w:pPr>
        <w:spacing w:before="120" w:after="120" w:line="288" w:lineRule="auto"/>
        <w:ind w:left="0"/>
        <w:jc w:val="left"/>
        <w:rPr>
          <w:rFonts w:hint="eastAsia" w:ascii="方正仿宋_GB18030" w:hAnsi="方正仿宋_GB18030" w:eastAsia="方正仿宋_GB18030" w:cs="方正仿宋_GB18030"/>
          <w:b/>
          <w:bCs/>
          <w:sz w:val="20"/>
          <w:szCs w:val="20"/>
        </w:rPr>
      </w:pPr>
    </w:p>
    <w:p w14:paraId="1BD0EFFC">
      <w:pPr>
        <w:spacing w:before="120" w:after="120" w:line="288" w:lineRule="auto"/>
        <w:ind w:left="0"/>
        <w:jc w:val="left"/>
        <w:rPr>
          <w:rFonts w:hint="eastAsia" w:ascii="方正仿宋_GB18030" w:hAnsi="方正仿宋_GB18030" w:eastAsia="方正仿宋_GB18030" w:cs="方正仿宋_GB18030"/>
          <w:b/>
          <w:bCs/>
          <w:sz w:val="20"/>
          <w:szCs w:val="20"/>
        </w:rPr>
      </w:pPr>
    </w:p>
    <w:p w14:paraId="48B4679D">
      <w:pPr>
        <w:spacing w:before="120" w:after="120" w:line="288" w:lineRule="auto"/>
        <w:ind w:left="0"/>
        <w:jc w:val="left"/>
        <w:rPr>
          <w:rFonts w:hint="eastAsia" w:ascii="方正仿宋_GB18030" w:hAnsi="方正仿宋_GB18030" w:eastAsia="方正仿宋_GB18030" w:cs="方正仿宋_GB18030"/>
          <w:b/>
          <w:bCs/>
          <w:sz w:val="20"/>
          <w:szCs w:val="20"/>
        </w:rPr>
      </w:pPr>
    </w:p>
    <w:p w14:paraId="43DB582B">
      <w:pPr>
        <w:spacing w:before="120" w:after="120" w:line="288" w:lineRule="auto"/>
        <w:ind w:left="0"/>
        <w:jc w:val="left"/>
        <w:rPr>
          <w:rFonts w:hint="eastAsia" w:ascii="方正仿宋_GB18030" w:hAnsi="方正仿宋_GB18030" w:eastAsia="方正仿宋_GB18030" w:cs="方正仿宋_GB18030"/>
          <w:b/>
          <w:bCs/>
          <w:sz w:val="20"/>
          <w:szCs w:val="20"/>
        </w:rPr>
      </w:pPr>
    </w:p>
    <w:p w14:paraId="25CC0EBF">
      <w:pPr>
        <w:spacing w:before="120" w:after="120" w:line="288" w:lineRule="auto"/>
        <w:ind w:left="0"/>
        <w:jc w:val="left"/>
        <w:rPr>
          <w:rFonts w:hint="eastAsia" w:ascii="方正仿宋_GB18030" w:hAnsi="方正仿宋_GB18030" w:eastAsia="方正仿宋_GB18030" w:cs="方正仿宋_GB18030"/>
          <w:b/>
          <w:bCs/>
          <w:sz w:val="20"/>
          <w:szCs w:val="20"/>
        </w:rPr>
      </w:pPr>
    </w:p>
    <w:p w14:paraId="0121FB7B">
      <w:pPr>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b/>
          <w:bCs/>
          <w:sz w:val="20"/>
          <w:szCs w:val="20"/>
        </w:rPr>
        <w:br w:type="textWrapping"/>
      </w:r>
      <w:r>
        <w:rPr>
          <w:rFonts w:hint="eastAsia" w:ascii="方正仿宋_GB18030" w:hAnsi="方正仿宋_GB18030" w:eastAsia="方正仿宋_GB18030" w:cs="方正仿宋_GB18030"/>
          <w:b/>
          <w:bCs/>
          <w:sz w:val="20"/>
          <w:szCs w:val="20"/>
        </w:rPr>
        <w:br w:type="textWrapping"/>
      </w:r>
      <w:r>
        <w:rPr>
          <w:rFonts w:hint="eastAsia" w:ascii="方正仿宋_GB18030" w:hAnsi="方正仿宋_GB18030" w:eastAsia="方正仿宋_GB18030" w:cs="方正仿宋_GB18030"/>
          <w:b/>
          <w:bCs/>
          <w:sz w:val="20"/>
          <w:szCs w:val="20"/>
        </w:rPr>
        <w:br w:type="textWrapping"/>
      </w:r>
      <w:r>
        <w:rPr>
          <w:rFonts w:hint="eastAsia" w:ascii="方正仿宋_GB18030" w:hAnsi="方正仿宋_GB18030" w:eastAsia="方正仿宋_GB18030" w:cs="方正仿宋_GB18030"/>
          <w:b/>
          <w:bCs/>
          <w:sz w:val="20"/>
          <w:szCs w:val="20"/>
        </w:rPr>
        <w:br w:type="textWrapping"/>
      </w:r>
      <w:r>
        <w:rPr>
          <w:rFonts w:hint="eastAsia" w:ascii="方正仿宋_GB18030" w:hAnsi="方正仿宋_GB18030" w:eastAsia="方正仿宋_GB18030" w:cs="方正仿宋_GB18030"/>
          <w:b/>
          <w:bCs/>
          <w:sz w:val="20"/>
          <w:szCs w:val="20"/>
        </w:rPr>
        <w:br w:type="textWrapping"/>
      </w:r>
      <w:r>
        <w:rPr>
          <w:rFonts w:hint="eastAsia" w:ascii="方正仿宋_GB18030" w:hAnsi="方正仿宋_GB18030" w:eastAsia="方正仿宋_GB18030" w:cs="方正仿宋_GB18030"/>
          <w:b/>
          <w:bCs/>
          <w:sz w:val="20"/>
          <w:szCs w:val="20"/>
        </w:rPr>
        <w:t>4. 半年维保内容和标准</w:t>
      </w:r>
    </w:p>
    <w:tbl>
      <w:tblPr>
        <w:tblStyle w:val="2"/>
        <w:tblW w:w="15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6" w:type="dxa"/>
          <w:left w:w="96" w:type="dxa"/>
          <w:bottom w:w="56" w:type="dxa"/>
          <w:right w:w="96" w:type="dxa"/>
        </w:tblCellMar>
      </w:tblPr>
      <w:tblGrid>
        <w:gridCol w:w="1491"/>
        <w:gridCol w:w="1588"/>
        <w:gridCol w:w="3690"/>
        <w:gridCol w:w="3361"/>
        <w:gridCol w:w="2590"/>
        <w:gridCol w:w="3118"/>
      </w:tblGrid>
      <w:tr w14:paraId="6260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tblHeader/>
          <w:jc w:val="center"/>
        </w:trPr>
        <w:tc>
          <w:tcPr>
            <w:tcW w:w="1491" w:type="dxa"/>
            <w:tcBorders>
              <w:top w:val="single" w:color="auto" w:sz="4" w:space="0"/>
              <w:left w:val="single" w:color="auto" w:sz="4" w:space="0"/>
              <w:bottom w:val="single" w:color="auto" w:sz="4" w:space="0"/>
              <w:right w:val="single" w:color="auto" w:sz="4" w:space="0"/>
            </w:tcBorders>
            <w:vAlign w:val="center"/>
          </w:tcPr>
          <w:p w14:paraId="4BBC9774">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维保区域/系统</w:t>
            </w:r>
          </w:p>
        </w:tc>
        <w:tc>
          <w:tcPr>
            <w:tcW w:w="1588" w:type="dxa"/>
            <w:tcBorders>
              <w:top w:val="single" w:color="auto" w:sz="4" w:space="0"/>
              <w:left w:val="single" w:color="auto" w:sz="4" w:space="0"/>
              <w:bottom w:val="single" w:color="auto" w:sz="4" w:space="0"/>
              <w:right w:val="single" w:color="auto" w:sz="4" w:space="0"/>
            </w:tcBorders>
            <w:vAlign w:val="center"/>
          </w:tcPr>
          <w:p w14:paraId="15D843A9">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维保项目</w:t>
            </w:r>
          </w:p>
        </w:tc>
        <w:tc>
          <w:tcPr>
            <w:tcW w:w="3690" w:type="dxa"/>
            <w:tcBorders>
              <w:top w:val="single" w:color="auto" w:sz="4" w:space="0"/>
              <w:left w:val="single" w:color="auto" w:sz="4" w:space="0"/>
              <w:bottom w:val="single" w:color="auto" w:sz="4" w:space="0"/>
              <w:right w:val="single" w:color="auto" w:sz="4" w:space="0"/>
            </w:tcBorders>
            <w:vAlign w:val="center"/>
          </w:tcPr>
          <w:p w14:paraId="156559AC">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具体内容</w:t>
            </w:r>
          </w:p>
        </w:tc>
        <w:tc>
          <w:tcPr>
            <w:tcW w:w="3361" w:type="dxa"/>
            <w:tcBorders>
              <w:top w:val="single" w:color="auto" w:sz="4" w:space="0"/>
              <w:left w:val="single" w:color="auto" w:sz="4" w:space="0"/>
              <w:bottom w:val="single" w:color="auto" w:sz="4" w:space="0"/>
              <w:right w:val="single" w:color="auto" w:sz="4" w:space="0"/>
            </w:tcBorders>
            <w:vAlign w:val="center"/>
          </w:tcPr>
          <w:p w14:paraId="2909C43B">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标准/要求</w:t>
            </w:r>
          </w:p>
        </w:tc>
        <w:tc>
          <w:tcPr>
            <w:tcW w:w="2590" w:type="dxa"/>
            <w:tcBorders>
              <w:top w:val="single" w:color="auto" w:sz="4" w:space="0"/>
              <w:left w:val="single" w:color="auto" w:sz="4" w:space="0"/>
              <w:bottom w:val="single" w:color="auto" w:sz="4" w:space="0"/>
              <w:right w:val="single" w:color="auto" w:sz="4" w:space="0"/>
            </w:tcBorders>
            <w:vAlign w:val="center"/>
          </w:tcPr>
          <w:p w14:paraId="21CB0165">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记录要求</w:t>
            </w:r>
          </w:p>
        </w:tc>
        <w:tc>
          <w:tcPr>
            <w:tcW w:w="3118" w:type="dxa"/>
            <w:tcBorders>
              <w:top w:val="single" w:color="auto" w:sz="4" w:space="0"/>
              <w:left w:val="single" w:color="auto" w:sz="4" w:space="0"/>
              <w:bottom w:val="single" w:color="auto" w:sz="4" w:space="0"/>
              <w:right w:val="single" w:color="auto" w:sz="4" w:space="0"/>
            </w:tcBorders>
            <w:vAlign w:val="center"/>
          </w:tcPr>
          <w:p w14:paraId="0C3A57AB">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异常处理要求</w:t>
            </w:r>
          </w:p>
        </w:tc>
      </w:tr>
      <w:tr w14:paraId="1DBB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491" w:type="dxa"/>
            <w:tcBorders>
              <w:top w:val="single" w:color="auto" w:sz="4" w:space="0"/>
              <w:left w:val="single" w:color="auto" w:sz="4" w:space="0"/>
              <w:bottom w:val="single" w:color="auto" w:sz="4" w:space="0"/>
              <w:right w:val="single" w:color="auto" w:sz="4" w:space="0"/>
            </w:tcBorders>
            <w:vAlign w:val="center"/>
          </w:tcPr>
          <w:p w14:paraId="11E3542D">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锅炉本体</w:t>
            </w:r>
          </w:p>
        </w:tc>
        <w:tc>
          <w:tcPr>
            <w:tcW w:w="1588" w:type="dxa"/>
            <w:tcBorders>
              <w:top w:val="single" w:color="auto" w:sz="4" w:space="0"/>
              <w:left w:val="single" w:color="auto" w:sz="4" w:space="0"/>
              <w:bottom w:val="single" w:color="auto" w:sz="4" w:space="0"/>
              <w:right w:val="single" w:color="auto" w:sz="4" w:space="0"/>
            </w:tcBorders>
            <w:vAlign w:val="center"/>
          </w:tcPr>
          <w:p w14:paraId="4551C38E">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本体壁厚检测</w:t>
            </w:r>
          </w:p>
        </w:tc>
        <w:tc>
          <w:tcPr>
            <w:tcW w:w="3690" w:type="dxa"/>
            <w:tcBorders>
              <w:top w:val="single" w:color="auto" w:sz="4" w:space="0"/>
              <w:left w:val="single" w:color="auto" w:sz="4" w:space="0"/>
              <w:bottom w:val="single" w:color="auto" w:sz="4" w:space="0"/>
              <w:right w:val="single" w:color="auto" w:sz="4" w:space="0"/>
            </w:tcBorders>
            <w:vAlign w:val="center"/>
          </w:tcPr>
          <w:p w14:paraId="6592982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委托具备资质人员，使用超声波测厚仪，在炉胆、炉管关键部位（如受热面、焊缝附近）检测壁厚；2. 检查锅炉基础，查看有无沉降、开裂</w:t>
            </w:r>
          </w:p>
        </w:tc>
        <w:tc>
          <w:tcPr>
            <w:tcW w:w="3361" w:type="dxa"/>
            <w:tcBorders>
              <w:top w:val="single" w:color="auto" w:sz="4" w:space="0"/>
              <w:left w:val="single" w:color="auto" w:sz="4" w:space="0"/>
              <w:bottom w:val="single" w:color="auto" w:sz="4" w:space="0"/>
              <w:right w:val="single" w:color="auto" w:sz="4" w:space="0"/>
            </w:tcBorders>
            <w:vAlign w:val="center"/>
          </w:tcPr>
          <w:p w14:paraId="447716AA">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壁厚检测值不低于设计壁厚的80%（无超标腐蚀）；2. 基础无明显沉降（地面无裂缝，锅炉无倾斜）</w:t>
            </w:r>
          </w:p>
        </w:tc>
        <w:tc>
          <w:tcPr>
            <w:tcW w:w="2590" w:type="dxa"/>
            <w:tcBorders>
              <w:top w:val="single" w:color="auto" w:sz="4" w:space="0"/>
              <w:left w:val="single" w:color="auto" w:sz="4" w:space="0"/>
              <w:bottom w:val="single" w:color="auto" w:sz="4" w:space="0"/>
              <w:right w:val="single" w:color="auto" w:sz="4" w:space="0"/>
            </w:tcBorders>
            <w:vAlign w:val="center"/>
          </w:tcPr>
          <w:p w14:paraId="1E5D184A">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填写《锅炉半年维保记录表》，附超声波测厚报告（含检测位置、壁厚数据），记录基础检查结果</w:t>
            </w:r>
          </w:p>
        </w:tc>
        <w:tc>
          <w:tcPr>
            <w:tcW w:w="3118" w:type="dxa"/>
            <w:tcBorders>
              <w:top w:val="single" w:color="auto" w:sz="4" w:space="0"/>
              <w:left w:val="single" w:color="auto" w:sz="4" w:space="0"/>
              <w:bottom w:val="single" w:color="auto" w:sz="4" w:space="0"/>
              <w:right w:val="single" w:color="auto" w:sz="4" w:space="0"/>
            </w:tcBorders>
            <w:vAlign w:val="center"/>
          </w:tcPr>
          <w:p w14:paraId="2F3D3FD0">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若壁厚检测值低于标准，评估剩余使用寿命，制定维修或更换计划；2. 若基础沉降，联系土建单位评估，采取加固措施，期间限制锅炉负荷</w:t>
            </w:r>
          </w:p>
        </w:tc>
      </w:tr>
      <w:tr w14:paraId="2C5D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491" w:type="dxa"/>
            <w:tcBorders>
              <w:top w:val="single" w:color="auto" w:sz="4" w:space="0"/>
              <w:left w:val="single" w:color="auto" w:sz="4" w:space="0"/>
              <w:bottom w:val="single" w:color="auto" w:sz="4" w:space="0"/>
              <w:right w:val="single" w:color="auto" w:sz="4" w:space="0"/>
            </w:tcBorders>
            <w:vAlign w:val="center"/>
          </w:tcPr>
          <w:p w14:paraId="42F04C25">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燃烧系统</w:t>
            </w:r>
          </w:p>
        </w:tc>
        <w:tc>
          <w:tcPr>
            <w:tcW w:w="1588" w:type="dxa"/>
            <w:tcBorders>
              <w:top w:val="single" w:color="auto" w:sz="4" w:space="0"/>
              <w:left w:val="single" w:color="auto" w:sz="4" w:space="0"/>
              <w:bottom w:val="single" w:color="auto" w:sz="4" w:space="0"/>
              <w:right w:val="single" w:color="auto" w:sz="4" w:space="0"/>
            </w:tcBorders>
            <w:vAlign w:val="center"/>
          </w:tcPr>
          <w:p w14:paraId="76ED948F">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燃烧器性能调试</w:t>
            </w:r>
          </w:p>
        </w:tc>
        <w:tc>
          <w:tcPr>
            <w:tcW w:w="3690" w:type="dxa"/>
            <w:tcBorders>
              <w:top w:val="single" w:color="auto" w:sz="4" w:space="0"/>
              <w:left w:val="single" w:color="auto" w:sz="4" w:space="0"/>
              <w:bottom w:val="single" w:color="auto" w:sz="4" w:space="0"/>
              <w:right w:val="single" w:color="auto" w:sz="4" w:space="0"/>
            </w:tcBorders>
            <w:vAlign w:val="center"/>
          </w:tcPr>
          <w:p w14:paraId="325A5635">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启动燃烧器，用烟气分析仪检测排烟成分（O₂、CO含量）；2. 根据检测结果，调整燃烧器风门、燃气阀开度，优化空燃比；3. 测试燃烧器在不同负荷下的稳定性</w:t>
            </w:r>
          </w:p>
        </w:tc>
        <w:tc>
          <w:tcPr>
            <w:tcW w:w="3361" w:type="dxa"/>
            <w:tcBorders>
              <w:top w:val="single" w:color="auto" w:sz="4" w:space="0"/>
              <w:left w:val="single" w:color="auto" w:sz="4" w:space="0"/>
              <w:bottom w:val="single" w:color="auto" w:sz="4" w:space="0"/>
              <w:right w:val="single" w:color="auto" w:sz="4" w:space="0"/>
            </w:tcBorders>
            <w:vAlign w:val="center"/>
          </w:tcPr>
          <w:p w14:paraId="15372E64">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排烟O₂含量控制在3%-6%（燃气锅炉），CO含量≤100ppm；2. 不同负荷下燃烧稳定，无脱火、回火现象</w:t>
            </w:r>
          </w:p>
        </w:tc>
        <w:tc>
          <w:tcPr>
            <w:tcW w:w="2590" w:type="dxa"/>
            <w:tcBorders>
              <w:top w:val="single" w:color="auto" w:sz="4" w:space="0"/>
              <w:left w:val="single" w:color="auto" w:sz="4" w:space="0"/>
              <w:bottom w:val="single" w:color="auto" w:sz="4" w:space="0"/>
              <w:right w:val="single" w:color="auto" w:sz="4" w:space="0"/>
            </w:tcBorders>
            <w:vAlign w:val="center"/>
          </w:tcPr>
          <w:p w14:paraId="65509845">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记录烟气分析数据、空燃比调整参数、不同负荷下燃烧状态</w:t>
            </w:r>
          </w:p>
        </w:tc>
        <w:tc>
          <w:tcPr>
            <w:tcW w:w="3118" w:type="dxa"/>
            <w:tcBorders>
              <w:top w:val="single" w:color="auto" w:sz="4" w:space="0"/>
              <w:left w:val="single" w:color="auto" w:sz="4" w:space="0"/>
              <w:bottom w:val="single" w:color="auto" w:sz="4" w:space="0"/>
              <w:right w:val="single" w:color="auto" w:sz="4" w:space="0"/>
            </w:tcBorders>
            <w:vAlign w:val="center"/>
          </w:tcPr>
          <w:p w14:paraId="7539AE0A">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若排烟成分超标，反复调整空燃比，直至达标；2. 若调整后仍无法达标，检查燃烧器喷嘴、风机风量，必要时更换燃烧器部件</w:t>
            </w:r>
          </w:p>
        </w:tc>
      </w:tr>
      <w:tr w14:paraId="03854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491" w:type="dxa"/>
            <w:tcBorders>
              <w:top w:val="single" w:color="auto" w:sz="4" w:space="0"/>
              <w:left w:val="single" w:color="auto" w:sz="4" w:space="0"/>
              <w:bottom w:val="single" w:color="auto" w:sz="4" w:space="0"/>
              <w:right w:val="single" w:color="auto" w:sz="4" w:space="0"/>
            </w:tcBorders>
            <w:vAlign w:val="center"/>
          </w:tcPr>
          <w:p w14:paraId="128F7090">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水处理系统</w:t>
            </w:r>
          </w:p>
        </w:tc>
        <w:tc>
          <w:tcPr>
            <w:tcW w:w="1588" w:type="dxa"/>
            <w:tcBorders>
              <w:top w:val="single" w:color="auto" w:sz="4" w:space="0"/>
              <w:left w:val="single" w:color="auto" w:sz="4" w:space="0"/>
              <w:bottom w:val="single" w:color="auto" w:sz="4" w:space="0"/>
              <w:right w:val="single" w:color="auto" w:sz="4" w:space="0"/>
            </w:tcBorders>
            <w:vAlign w:val="center"/>
          </w:tcPr>
          <w:p w14:paraId="6095CE1D">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软水器树脂再生与除氧器检修</w:t>
            </w:r>
          </w:p>
        </w:tc>
        <w:tc>
          <w:tcPr>
            <w:tcW w:w="3690" w:type="dxa"/>
            <w:tcBorders>
              <w:top w:val="single" w:color="auto" w:sz="4" w:space="0"/>
              <w:left w:val="single" w:color="auto" w:sz="4" w:space="0"/>
              <w:bottom w:val="single" w:color="auto" w:sz="4" w:space="0"/>
              <w:right w:val="single" w:color="auto" w:sz="4" w:space="0"/>
            </w:tcBorders>
            <w:vAlign w:val="center"/>
          </w:tcPr>
          <w:p w14:paraId="3F48A7CE">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对软水器进行树脂反洗、再生、置换全过程测试，检测再生后出水硬度；2. 拆卸除氧器内部填料（如鲍尔环），清理杂质；3. 检查除氧器排气阀，测试排气功能</w:t>
            </w:r>
          </w:p>
        </w:tc>
        <w:tc>
          <w:tcPr>
            <w:tcW w:w="3361" w:type="dxa"/>
            <w:tcBorders>
              <w:top w:val="single" w:color="auto" w:sz="4" w:space="0"/>
              <w:left w:val="single" w:color="auto" w:sz="4" w:space="0"/>
              <w:bottom w:val="single" w:color="auto" w:sz="4" w:space="0"/>
              <w:right w:val="single" w:color="auto" w:sz="4" w:space="0"/>
            </w:tcBorders>
            <w:vAlign w:val="center"/>
          </w:tcPr>
          <w:p w14:paraId="38BF857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软水器再生后出水硬度≤0.03mmol/L；2. 除氧器填料清洁无杂质，堆积均匀；3. 排气阀开启正常，无堵塞</w:t>
            </w:r>
          </w:p>
        </w:tc>
        <w:tc>
          <w:tcPr>
            <w:tcW w:w="2590" w:type="dxa"/>
            <w:tcBorders>
              <w:top w:val="single" w:color="auto" w:sz="4" w:space="0"/>
              <w:left w:val="single" w:color="auto" w:sz="4" w:space="0"/>
              <w:bottom w:val="single" w:color="auto" w:sz="4" w:space="0"/>
              <w:right w:val="single" w:color="auto" w:sz="4" w:space="0"/>
            </w:tcBorders>
            <w:vAlign w:val="center"/>
          </w:tcPr>
          <w:p w14:paraId="3F7D23AC">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记录软水器再生各步骤时间、出水硬度数据，除氧器填料清理情况、排气阀测试结果</w:t>
            </w:r>
          </w:p>
        </w:tc>
        <w:tc>
          <w:tcPr>
            <w:tcW w:w="3118" w:type="dxa"/>
            <w:tcBorders>
              <w:top w:val="single" w:color="auto" w:sz="4" w:space="0"/>
              <w:left w:val="single" w:color="auto" w:sz="4" w:space="0"/>
              <w:bottom w:val="single" w:color="auto" w:sz="4" w:space="0"/>
              <w:right w:val="single" w:color="auto" w:sz="4" w:space="0"/>
            </w:tcBorders>
            <w:vAlign w:val="center"/>
          </w:tcPr>
          <w:p w14:paraId="6CCE0B35">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若软水器再生后硬度仍超标，检查再生剂用量、树脂状态，必要时增加再生剂用量或更换树脂；2. 若除氧器排气阀堵塞，清理阀芯或更换阀门</w:t>
            </w:r>
          </w:p>
        </w:tc>
      </w:tr>
      <w:tr w14:paraId="300D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491" w:type="dxa"/>
            <w:tcBorders>
              <w:top w:val="single" w:color="auto" w:sz="4" w:space="0"/>
              <w:left w:val="single" w:color="auto" w:sz="4" w:space="0"/>
              <w:bottom w:val="single" w:color="auto" w:sz="4" w:space="0"/>
              <w:right w:val="single" w:color="auto" w:sz="4" w:space="0"/>
            </w:tcBorders>
            <w:vAlign w:val="center"/>
          </w:tcPr>
          <w:p w14:paraId="3C3AE920">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安全附件</w:t>
            </w:r>
          </w:p>
        </w:tc>
        <w:tc>
          <w:tcPr>
            <w:tcW w:w="1588" w:type="dxa"/>
            <w:tcBorders>
              <w:top w:val="single" w:color="auto" w:sz="4" w:space="0"/>
              <w:left w:val="single" w:color="auto" w:sz="4" w:space="0"/>
              <w:bottom w:val="single" w:color="auto" w:sz="4" w:space="0"/>
              <w:right w:val="single" w:color="auto" w:sz="4" w:space="0"/>
            </w:tcBorders>
            <w:vAlign w:val="center"/>
          </w:tcPr>
          <w:p w14:paraId="1BBDA34D">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安全阀送检与压力表检定</w:t>
            </w:r>
          </w:p>
        </w:tc>
        <w:tc>
          <w:tcPr>
            <w:tcW w:w="3690" w:type="dxa"/>
            <w:tcBorders>
              <w:top w:val="single" w:color="auto" w:sz="4" w:space="0"/>
              <w:left w:val="single" w:color="auto" w:sz="4" w:space="0"/>
              <w:bottom w:val="single" w:color="auto" w:sz="4" w:space="0"/>
              <w:right w:val="single" w:color="auto" w:sz="4" w:space="0"/>
            </w:tcBorders>
            <w:vAlign w:val="center"/>
          </w:tcPr>
          <w:p w14:paraId="25C75D4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拆除安全阀，送具备资质的检验机构进行整定校验；2. 拆除压力表，送检定机构进行计量检定</w:t>
            </w:r>
          </w:p>
        </w:tc>
        <w:tc>
          <w:tcPr>
            <w:tcW w:w="3361" w:type="dxa"/>
            <w:tcBorders>
              <w:top w:val="single" w:color="auto" w:sz="4" w:space="0"/>
              <w:left w:val="single" w:color="auto" w:sz="4" w:space="0"/>
              <w:bottom w:val="single" w:color="auto" w:sz="4" w:space="0"/>
              <w:right w:val="single" w:color="auto" w:sz="4" w:space="0"/>
            </w:tcBorders>
            <w:vAlign w:val="center"/>
          </w:tcPr>
          <w:p w14:paraId="54F6A455">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安全阀校验合格，取得校验报告，铅封完好；2. 压力表检定合格，粘贴检定合格标签，在检定有效期内</w:t>
            </w:r>
          </w:p>
        </w:tc>
        <w:tc>
          <w:tcPr>
            <w:tcW w:w="2590" w:type="dxa"/>
            <w:tcBorders>
              <w:top w:val="single" w:color="auto" w:sz="4" w:space="0"/>
              <w:left w:val="single" w:color="auto" w:sz="4" w:space="0"/>
              <w:bottom w:val="single" w:color="auto" w:sz="4" w:space="0"/>
              <w:right w:val="single" w:color="auto" w:sz="4" w:space="0"/>
            </w:tcBorders>
            <w:vAlign w:val="center"/>
          </w:tcPr>
          <w:p w14:paraId="2B166264">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记录安全阀送检时间、校验结果（整定压力）、返校时间，压力表检定时间、检定结果、有效期</w:t>
            </w:r>
          </w:p>
        </w:tc>
        <w:tc>
          <w:tcPr>
            <w:tcW w:w="3118" w:type="dxa"/>
            <w:tcBorders>
              <w:top w:val="single" w:color="auto" w:sz="4" w:space="0"/>
              <w:left w:val="single" w:color="auto" w:sz="4" w:space="0"/>
              <w:bottom w:val="single" w:color="auto" w:sz="4" w:space="0"/>
              <w:right w:val="single" w:color="auto" w:sz="4" w:space="0"/>
            </w:tcBorders>
            <w:vAlign w:val="center"/>
          </w:tcPr>
          <w:p w14:paraId="4D3F70ED">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若安全阀校验不合格，更换同型号、同规格安全阀并重新校验；2. 若压力表检定不合格，更换压力表并送检，合格后方可安装使用</w:t>
            </w:r>
          </w:p>
        </w:tc>
      </w:tr>
    </w:tbl>
    <w:p w14:paraId="379B8754">
      <w:pPr>
        <w:spacing w:before="120" w:after="120" w:line="288" w:lineRule="auto"/>
        <w:ind w:left="0"/>
        <w:jc w:val="left"/>
        <w:rPr>
          <w:rFonts w:hint="eastAsia" w:ascii="方正仿宋_GB18030" w:hAnsi="方正仿宋_GB18030" w:eastAsia="方正仿宋_GB18030" w:cs="方正仿宋_GB18030"/>
          <w:b/>
          <w:bCs/>
          <w:sz w:val="20"/>
          <w:szCs w:val="20"/>
        </w:rPr>
      </w:pPr>
    </w:p>
    <w:p w14:paraId="2D79CB20">
      <w:pPr>
        <w:spacing w:before="120" w:after="120" w:line="288" w:lineRule="auto"/>
        <w:ind w:left="0"/>
        <w:jc w:val="left"/>
        <w:rPr>
          <w:rFonts w:hint="eastAsia" w:ascii="方正仿宋_GB18030" w:hAnsi="方正仿宋_GB18030" w:eastAsia="方正仿宋_GB18030" w:cs="方正仿宋_GB18030"/>
          <w:b/>
          <w:bCs/>
          <w:sz w:val="20"/>
          <w:szCs w:val="20"/>
        </w:rPr>
      </w:pPr>
    </w:p>
    <w:p w14:paraId="48FF262E">
      <w:pPr>
        <w:spacing w:before="120" w:after="120" w:line="288" w:lineRule="auto"/>
        <w:ind w:left="0"/>
        <w:jc w:val="left"/>
        <w:rPr>
          <w:rFonts w:hint="eastAsia" w:ascii="方正仿宋_GB18030" w:hAnsi="方正仿宋_GB18030" w:eastAsia="方正仿宋_GB18030" w:cs="方正仿宋_GB18030"/>
          <w:b/>
          <w:bCs/>
          <w:sz w:val="20"/>
          <w:szCs w:val="20"/>
        </w:rPr>
      </w:pPr>
    </w:p>
    <w:p w14:paraId="257E5F60">
      <w:pPr>
        <w:spacing w:before="120" w:after="120" w:line="288" w:lineRule="auto"/>
        <w:ind w:left="0"/>
        <w:jc w:val="left"/>
        <w:rPr>
          <w:rFonts w:hint="eastAsia" w:ascii="方正仿宋_GB18030" w:hAnsi="方正仿宋_GB18030" w:eastAsia="方正仿宋_GB18030" w:cs="方正仿宋_GB18030"/>
          <w:b/>
          <w:bCs/>
          <w:sz w:val="20"/>
          <w:szCs w:val="20"/>
        </w:rPr>
      </w:pPr>
    </w:p>
    <w:p w14:paraId="5AA563F9">
      <w:pPr>
        <w:spacing w:before="120" w:after="120" w:line="288" w:lineRule="auto"/>
        <w:ind w:left="0"/>
        <w:jc w:val="left"/>
        <w:rPr>
          <w:rFonts w:hint="eastAsia" w:ascii="方正仿宋_GB18030" w:hAnsi="方正仿宋_GB18030" w:eastAsia="方正仿宋_GB18030" w:cs="方正仿宋_GB18030"/>
          <w:b/>
          <w:bCs/>
          <w:sz w:val="20"/>
          <w:szCs w:val="20"/>
        </w:rPr>
      </w:pPr>
    </w:p>
    <w:p w14:paraId="59E911F6">
      <w:pPr>
        <w:spacing w:before="120" w:after="120" w:line="288" w:lineRule="auto"/>
        <w:ind w:left="0"/>
        <w:jc w:val="left"/>
        <w:rPr>
          <w:rFonts w:hint="eastAsia" w:ascii="方正仿宋_GB18030" w:hAnsi="方正仿宋_GB18030" w:eastAsia="方正仿宋_GB18030" w:cs="方正仿宋_GB18030"/>
          <w:b/>
          <w:bCs/>
          <w:sz w:val="20"/>
          <w:szCs w:val="20"/>
        </w:rPr>
      </w:pPr>
    </w:p>
    <w:p w14:paraId="0E0CC445">
      <w:pPr>
        <w:spacing w:before="120" w:after="120" w:line="288" w:lineRule="auto"/>
        <w:ind w:left="0"/>
        <w:jc w:val="left"/>
        <w:rPr>
          <w:rFonts w:hint="eastAsia" w:ascii="方正仿宋_GB18030" w:hAnsi="方正仿宋_GB18030" w:eastAsia="方正仿宋_GB18030" w:cs="方正仿宋_GB18030"/>
          <w:b/>
          <w:bCs/>
          <w:sz w:val="20"/>
          <w:szCs w:val="20"/>
        </w:rPr>
      </w:pPr>
    </w:p>
    <w:p w14:paraId="2BF27B4A">
      <w:pPr>
        <w:spacing w:before="120" w:after="120" w:line="288" w:lineRule="auto"/>
        <w:ind w:left="0"/>
        <w:jc w:val="left"/>
        <w:rPr>
          <w:rFonts w:hint="eastAsia" w:ascii="方正仿宋_GB18030" w:hAnsi="方正仿宋_GB18030" w:eastAsia="方正仿宋_GB18030" w:cs="方正仿宋_GB18030"/>
          <w:b/>
          <w:bCs/>
          <w:sz w:val="20"/>
          <w:szCs w:val="20"/>
        </w:rPr>
      </w:pPr>
    </w:p>
    <w:p w14:paraId="310A05F5">
      <w:pPr>
        <w:spacing w:before="120" w:after="120" w:line="288" w:lineRule="auto"/>
        <w:ind w:left="0"/>
        <w:jc w:val="left"/>
        <w:rPr>
          <w:rFonts w:hint="eastAsia" w:ascii="方正仿宋_GB18030" w:hAnsi="方正仿宋_GB18030" w:eastAsia="方正仿宋_GB18030" w:cs="方正仿宋_GB18030"/>
          <w:b/>
          <w:bCs/>
          <w:sz w:val="20"/>
          <w:szCs w:val="20"/>
        </w:rPr>
      </w:pPr>
    </w:p>
    <w:p w14:paraId="5AC098FC">
      <w:pPr>
        <w:spacing w:before="120" w:after="120" w:line="288" w:lineRule="auto"/>
        <w:ind w:left="0"/>
        <w:jc w:val="left"/>
        <w:rPr>
          <w:rFonts w:hint="eastAsia" w:ascii="方正仿宋_GB18030" w:hAnsi="方正仿宋_GB18030" w:eastAsia="方正仿宋_GB18030" w:cs="方正仿宋_GB18030"/>
          <w:b/>
          <w:bCs/>
          <w:sz w:val="20"/>
          <w:szCs w:val="20"/>
        </w:rPr>
      </w:pPr>
    </w:p>
    <w:p w14:paraId="134CA8D9">
      <w:pPr>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b/>
          <w:bCs/>
          <w:sz w:val="20"/>
          <w:szCs w:val="20"/>
        </w:rPr>
        <w:br w:type="textWrapping"/>
      </w:r>
      <w:r>
        <w:rPr>
          <w:rFonts w:hint="eastAsia" w:ascii="方正仿宋_GB18030" w:hAnsi="方正仿宋_GB18030" w:eastAsia="方正仿宋_GB18030" w:cs="方正仿宋_GB18030"/>
          <w:b/>
          <w:bCs/>
          <w:sz w:val="20"/>
          <w:szCs w:val="20"/>
        </w:rPr>
        <w:br w:type="textWrapping"/>
      </w:r>
      <w:r>
        <w:rPr>
          <w:rFonts w:hint="eastAsia" w:ascii="方正仿宋_GB18030" w:hAnsi="方正仿宋_GB18030" w:eastAsia="方正仿宋_GB18030" w:cs="方正仿宋_GB18030"/>
          <w:b/>
          <w:bCs/>
          <w:sz w:val="20"/>
          <w:szCs w:val="20"/>
        </w:rPr>
        <w:t>5. 年度维保内容和标准</w:t>
      </w:r>
    </w:p>
    <w:tbl>
      <w:tblPr>
        <w:tblStyle w:val="2"/>
        <w:tblW w:w="15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6" w:type="dxa"/>
          <w:left w:w="96" w:type="dxa"/>
          <w:bottom w:w="56" w:type="dxa"/>
          <w:right w:w="96" w:type="dxa"/>
        </w:tblCellMar>
      </w:tblPr>
      <w:tblGrid>
        <w:gridCol w:w="1674"/>
        <w:gridCol w:w="1258"/>
        <w:gridCol w:w="4192"/>
        <w:gridCol w:w="3486"/>
        <w:gridCol w:w="2245"/>
        <w:gridCol w:w="3140"/>
      </w:tblGrid>
      <w:tr w14:paraId="1463F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tblHeader/>
          <w:jc w:val="center"/>
        </w:trPr>
        <w:tc>
          <w:tcPr>
            <w:tcW w:w="1674" w:type="dxa"/>
            <w:tcBorders>
              <w:top w:val="single" w:color="auto" w:sz="4" w:space="0"/>
              <w:left w:val="single" w:color="auto" w:sz="4" w:space="0"/>
              <w:bottom w:val="single" w:color="auto" w:sz="4" w:space="0"/>
              <w:right w:val="single" w:color="auto" w:sz="4" w:space="0"/>
            </w:tcBorders>
            <w:vAlign w:val="center"/>
          </w:tcPr>
          <w:p w14:paraId="67323357">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维保区域/系统</w:t>
            </w:r>
          </w:p>
        </w:tc>
        <w:tc>
          <w:tcPr>
            <w:tcW w:w="1258" w:type="dxa"/>
            <w:tcBorders>
              <w:top w:val="single" w:color="auto" w:sz="4" w:space="0"/>
              <w:left w:val="single" w:color="auto" w:sz="4" w:space="0"/>
              <w:bottom w:val="single" w:color="auto" w:sz="4" w:space="0"/>
              <w:right w:val="single" w:color="auto" w:sz="4" w:space="0"/>
            </w:tcBorders>
            <w:vAlign w:val="center"/>
          </w:tcPr>
          <w:p w14:paraId="5A098015">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维保项目</w:t>
            </w:r>
          </w:p>
        </w:tc>
        <w:tc>
          <w:tcPr>
            <w:tcW w:w="4192" w:type="dxa"/>
            <w:tcBorders>
              <w:top w:val="single" w:color="auto" w:sz="4" w:space="0"/>
              <w:left w:val="single" w:color="auto" w:sz="4" w:space="0"/>
              <w:bottom w:val="single" w:color="auto" w:sz="4" w:space="0"/>
              <w:right w:val="single" w:color="auto" w:sz="4" w:space="0"/>
            </w:tcBorders>
            <w:vAlign w:val="center"/>
          </w:tcPr>
          <w:p w14:paraId="2357F74E">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具体内容</w:t>
            </w:r>
          </w:p>
        </w:tc>
        <w:tc>
          <w:tcPr>
            <w:tcW w:w="3486" w:type="dxa"/>
            <w:tcBorders>
              <w:top w:val="single" w:color="auto" w:sz="4" w:space="0"/>
              <w:left w:val="single" w:color="auto" w:sz="4" w:space="0"/>
              <w:bottom w:val="single" w:color="auto" w:sz="4" w:space="0"/>
              <w:right w:val="single" w:color="auto" w:sz="4" w:space="0"/>
            </w:tcBorders>
            <w:vAlign w:val="center"/>
          </w:tcPr>
          <w:p w14:paraId="57FED486">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标准/要求</w:t>
            </w:r>
          </w:p>
        </w:tc>
        <w:tc>
          <w:tcPr>
            <w:tcW w:w="2245" w:type="dxa"/>
            <w:tcBorders>
              <w:top w:val="single" w:color="auto" w:sz="4" w:space="0"/>
              <w:left w:val="single" w:color="auto" w:sz="4" w:space="0"/>
              <w:bottom w:val="single" w:color="auto" w:sz="4" w:space="0"/>
              <w:right w:val="single" w:color="auto" w:sz="4" w:space="0"/>
            </w:tcBorders>
            <w:vAlign w:val="center"/>
          </w:tcPr>
          <w:p w14:paraId="09DFDEF2">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记录要求</w:t>
            </w:r>
          </w:p>
        </w:tc>
        <w:tc>
          <w:tcPr>
            <w:tcW w:w="3140" w:type="dxa"/>
            <w:tcBorders>
              <w:top w:val="single" w:color="auto" w:sz="4" w:space="0"/>
              <w:left w:val="single" w:color="auto" w:sz="4" w:space="0"/>
              <w:bottom w:val="single" w:color="auto" w:sz="4" w:space="0"/>
              <w:right w:val="single" w:color="auto" w:sz="4" w:space="0"/>
            </w:tcBorders>
            <w:vAlign w:val="center"/>
          </w:tcPr>
          <w:p w14:paraId="081B296D">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异常处理要求</w:t>
            </w:r>
          </w:p>
        </w:tc>
      </w:tr>
      <w:tr w14:paraId="5473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674" w:type="dxa"/>
            <w:tcBorders>
              <w:top w:val="single" w:color="auto" w:sz="4" w:space="0"/>
              <w:left w:val="single" w:color="auto" w:sz="4" w:space="0"/>
              <w:bottom w:val="single" w:color="auto" w:sz="4" w:space="0"/>
              <w:right w:val="single" w:color="auto" w:sz="4" w:space="0"/>
            </w:tcBorders>
            <w:vAlign w:val="center"/>
          </w:tcPr>
          <w:p w14:paraId="3A0D6F2C">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锅炉整体</w:t>
            </w:r>
          </w:p>
        </w:tc>
        <w:tc>
          <w:tcPr>
            <w:tcW w:w="1258" w:type="dxa"/>
            <w:tcBorders>
              <w:top w:val="single" w:color="auto" w:sz="4" w:space="0"/>
              <w:left w:val="single" w:color="auto" w:sz="4" w:space="0"/>
              <w:bottom w:val="single" w:color="auto" w:sz="4" w:space="0"/>
              <w:right w:val="single" w:color="auto" w:sz="4" w:space="0"/>
            </w:tcBorders>
            <w:vAlign w:val="center"/>
          </w:tcPr>
          <w:p w14:paraId="29149DA8">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年度全面检测</w:t>
            </w:r>
          </w:p>
        </w:tc>
        <w:tc>
          <w:tcPr>
            <w:tcW w:w="4192" w:type="dxa"/>
            <w:tcBorders>
              <w:top w:val="single" w:color="auto" w:sz="4" w:space="0"/>
              <w:left w:val="single" w:color="auto" w:sz="4" w:space="0"/>
              <w:bottom w:val="single" w:color="auto" w:sz="4" w:space="0"/>
              <w:right w:val="single" w:color="auto" w:sz="4" w:space="0"/>
            </w:tcBorders>
            <w:vAlign w:val="center"/>
          </w:tcPr>
          <w:p w14:paraId="11C859D0">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配合特种设备检验检测机构完成锅炉年度定期检验（含水压试验、内部检验）；2. 检查锅炉本体与附属设备连接管路，有无腐蚀、变形；3. 评估锅炉整体运行状况，制定下一年度维保重点</w:t>
            </w:r>
          </w:p>
        </w:tc>
        <w:tc>
          <w:tcPr>
            <w:tcW w:w="3486" w:type="dxa"/>
            <w:tcBorders>
              <w:top w:val="single" w:color="auto" w:sz="4" w:space="0"/>
              <w:left w:val="single" w:color="auto" w:sz="4" w:space="0"/>
              <w:bottom w:val="single" w:color="auto" w:sz="4" w:space="0"/>
              <w:right w:val="single" w:color="auto" w:sz="4" w:space="0"/>
            </w:tcBorders>
            <w:vAlign w:val="center"/>
          </w:tcPr>
          <w:p w14:paraId="62EDE493">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取得《锅炉定期检验报告》，结论为“合格”；2. 连接管路无腐蚀、变形，支架牢固；3. 形成年度维保评估报告，明确下一年度重点维保项</w:t>
            </w:r>
          </w:p>
        </w:tc>
        <w:tc>
          <w:tcPr>
            <w:tcW w:w="2245" w:type="dxa"/>
            <w:tcBorders>
              <w:top w:val="single" w:color="auto" w:sz="4" w:space="0"/>
              <w:left w:val="single" w:color="auto" w:sz="4" w:space="0"/>
              <w:bottom w:val="single" w:color="auto" w:sz="4" w:space="0"/>
              <w:right w:val="single" w:color="auto" w:sz="4" w:space="0"/>
            </w:tcBorders>
            <w:vAlign w:val="center"/>
          </w:tcPr>
          <w:p w14:paraId="48DF7E9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填写《锅炉年度维保记录表》，附《锅炉定期检验报告》复印件，记录管路检查结果、年度评估结论</w:t>
            </w:r>
          </w:p>
        </w:tc>
        <w:tc>
          <w:tcPr>
            <w:tcW w:w="3140" w:type="dxa"/>
            <w:tcBorders>
              <w:top w:val="single" w:color="auto" w:sz="4" w:space="0"/>
              <w:left w:val="single" w:color="auto" w:sz="4" w:space="0"/>
              <w:bottom w:val="single" w:color="auto" w:sz="4" w:space="0"/>
              <w:right w:val="single" w:color="auto" w:sz="4" w:space="0"/>
            </w:tcBorders>
            <w:vAlign w:val="center"/>
          </w:tcPr>
          <w:p w14:paraId="33F2E9D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若定期检验发现问题（如轻度腐蚀），按检验机构要求制定整改计划，限期完成；2. 若检验结论为“不合格”，立即停炉，落实整改后重新检验，合格后方可启用</w:t>
            </w:r>
          </w:p>
        </w:tc>
      </w:tr>
      <w:tr w14:paraId="214A7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674" w:type="dxa"/>
            <w:tcBorders>
              <w:top w:val="single" w:color="auto" w:sz="4" w:space="0"/>
              <w:left w:val="single" w:color="auto" w:sz="4" w:space="0"/>
              <w:bottom w:val="single" w:color="auto" w:sz="4" w:space="0"/>
              <w:right w:val="single" w:color="auto" w:sz="4" w:space="0"/>
            </w:tcBorders>
            <w:vAlign w:val="center"/>
          </w:tcPr>
          <w:p w14:paraId="010E4181">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燃烧系统</w:t>
            </w:r>
          </w:p>
        </w:tc>
        <w:tc>
          <w:tcPr>
            <w:tcW w:w="1258" w:type="dxa"/>
            <w:tcBorders>
              <w:top w:val="single" w:color="auto" w:sz="4" w:space="0"/>
              <w:left w:val="single" w:color="auto" w:sz="4" w:space="0"/>
              <w:bottom w:val="single" w:color="auto" w:sz="4" w:space="0"/>
              <w:right w:val="single" w:color="auto" w:sz="4" w:space="0"/>
            </w:tcBorders>
            <w:vAlign w:val="center"/>
          </w:tcPr>
          <w:p w14:paraId="37A07212">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燃烧器全面拆解维护</w:t>
            </w:r>
          </w:p>
        </w:tc>
        <w:tc>
          <w:tcPr>
            <w:tcW w:w="4192" w:type="dxa"/>
            <w:tcBorders>
              <w:top w:val="single" w:color="auto" w:sz="4" w:space="0"/>
              <w:left w:val="single" w:color="auto" w:sz="4" w:space="0"/>
              <w:bottom w:val="single" w:color="auto" w:sz="4" w:space="0"/>
              <w:right w:val="single" w:color="auto" w:sz="4" w:space="0"/>
            </w:tcBorders>
            <w:vAlign w:val="center"/>
          </w:tcPr>
          <w:p w14:paraId="1FBEA7E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完全拆解燃烧器，清理燃烧室、风机叶轮积尘；2. 检查燃烧器电机绝缘电阻（用兆欧表测试，≥0.5MΩ）；3. 更换燃烧器易损件（如密封垫、滤芯）</w:t>
            </w:r>
          </w:p>
        </w:tc>
        <w:tc>
          <w:tcPr>
            <w:tcW w:w="3486" w:type="dxa"/>
            <w:tcBorders>
              <w:top w:val="single" w:color="auto" w:sz="4" w:space="0"/>
              <w:left w:val="single" w:color="auto" w:sz="4" w:space="0"/>
              <w:bottom w:val="single" w:color="auto" w:sz="4" w:space="0"/>
              <w:right w:val="single" w:color="auto" w:sz="4" w:space="0"/>
            </w:tcBorders>
            <w:vAlign w:val="center"/>
          </w:tcPr>
          <w:p w14:paraId="7C8635B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燃烧室、风机叶轮无积尘，电机绝缘电阻达标；2. 易损件更换后，燃烧器组装完整，无部件遗漏；3. 启动燃烧器，运行平稳，无异常噪音</w:t>
            </w:r>
          </w:p>
        </w:tc>
        <w:tc>
          <w:tcPr>
            <w:tcW w:w="2245" w:type="dxa"/>
            <w:tcBorders>
              <w:top w:val="single" w:color="auto" w:sz="4" w:space="0"/>
              <w:left w:val="single" w:color="auto" w:sz="4" w:space="0"/>
              <w:bottom w:val="single" w:color="auto" w:sz="4" w:space="0"/>
              <w:right w:val="single" w:color="auto" w:sz="4" w:space="0"/>
            </w:tcBorders>
            <w:vAlign w:val="center"/>
          </w:tcPr>
          <w:p w14:paraId="4F59760B">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记录燃烧器拆解步骤、电机绝缘电阻值、易损件更换型号及数量、组装后运行状态</w:t>
            </w:r>
          </w:p>
        </w:tc>
        <w:tc>
          <w:tcPr>
            <w:tcW w:w="3140" w:type="dxa"/>
            <w:tcBorders>
              <w:top w:val="single" w:color="auto" w:sz="4" w:space="0"/>
              <w:left w:val="single" w:color="auto" w:sz="4" w:space="0"/>
              <w:bottom w:val="single" w:color="auto" w:sz="4" w:space="0"/>
              <w:right w:val="single" w:color="auto" w:sz="4" w:space="0"/>
            </w:tcBorders>
            <w:vAlign w:val="center"/>
          </w:tcPr>
          <w:p w14:paraId="3AE80E4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若电机绝缘电阻不达标，干燥电机绕组；若仍不达标，更换燃烧器电机；2. 若拆解后发现部件损坏（如风机叶轮裂纹），更换损坏部件后再组装</w:t>
            </w:r>
          </w:p>
        </w:tc>
      </w:tr>
      <w:tr w14:paraId="1873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674" w:type="dxa"/>
            <w:tcBorders>
              <w:top w:val="single" w:color="auto" w:sz="4" w:space="0"/>
              <w:left w:val="single" w:color="auto" w:sz="4" w:space="0"/>
              <w:bottom w:val="single" w:color="auto" w:sz="4" w:space="0"/>
              <w:right w:val="single" w:color="auto" w:sz="4" w:space="0"/>
            </w:tcBorders>
            <w:vAlign w:val="center"/>
          </w:tcPr>
          <w:p w14:paraId="32C1E317">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电气控制系统</w:t>
            </w:r>
          </w:p>
        </w:tc>
        <w:tc>
          <w:tcPr>
            <w:tcW w:w="1258" w:type="dxa"/>
            <w:tcBorders>
              <w:top w:val="single" w:color="auto" w:sz="4" w:space="0"/>
              <w:left w:val="single" w:color="auto" w:sz="4" w:space="0"/>
              <w:bottom w:val="single" w:color="auto" w:sz="4" w:space="0"/>
              <w:right w:val="single" w:color="auto" w:sz="4" w:space="0"/>
            </w:tcBorders>
            <w:vAlign w:val="center"/>
          </w:tcPr>
          <w:p w14:paraId="64BEFED0">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控制器与传感器校准</w:t>
            </w:r>
          </w:p>
        </w:tc>
        <w:tc>
          <w:tcPr>
            <w:tcW w:w="4192" w:type="dxa"/>
            <w:tcBorders>
              <w:top w:val="single" w:color="auto" w:sz="4" w:space="0"/>
              <w:left w:val="single" w:color="auto" w:sz="4" w:space="0"/>
              <w:bottom w:val="single" w:color="auto" w:sz="4" w:space="0"/>
              <w:right w:val="single" w:color="auto" w:sz="4" w:space="0"/>
            </w:tcBorders>
            <w:vAlign w:val="center"/>
          </w:tcPr>
          <w:p w14:paraId="68F1C0A7">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校准锅炉温度传感器、压力传感器（与标准仪表比对）；2. 检查PLC控制器程序，测试逻辑控制功能（如启停连锁、报警连锁）；3. 备份控制器参数，更新控制软件（若有新版本）</w:t>
            </w:r>
          </w:p>
        </w:tc>
        <w:tc>
          <w:tcPr>
            <w:tcW w:w="3486" w:type="dxa"/>
            <w:tcBorders>
              <w:top w:val="single" w:color="auto" w:sz="4" w:space="0"/>
              <w:left w:val="single" w:color="auto" w:sz="4" w:space="0"/>
              <w:bottom w:val="single" w:color="auto" w:sz="4" w:space="0"/>
              <w:right w:val="single" w:color="auto" w:sz="4" w:space="0"/>
            </w:tcBorders>
            <w:vAlign w:val="center"/>
          </w:tcPr>
          <w:p w14:paraId="2323E617">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传感器校准后，误差≤±0.5℃（温度）、±0.02MPa（压力）；2. 逻辑控制功能正常（如超压时自动停炉、缺水时禁止点火）；3. 参数备份完成，软件更新后无故障</w:t>
            </w:r>
          </w:p>
        </w:tc>
        <w:tc>
          <w:tcPr>
            <w:tcW w:w="2245" w:type="dxa"/>
            <w:tcBorders>
              <w:top w:val="single" w:color="auto" w:sz="4" w:space="0"/>
              <w:left w:val="single" w:color="auto" w:sz="4" w:space="0"/>
              <w:bottom w:val="single" w:color="auto" w:sz="4" w:space="0"/>
              <w:right w:val="single" w:color="auto" w:sz="4" w:space="0"/>
            </w:tcBorders>
            <w:vAlign w:val="center"/>
          </w:tcPr>
          <w:p w14:paraId="00042F4D">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记录传感器校准数据（原误差、校准后误差）、逻辑测试结果、参数备份情况、软件版本</w:t>
            </w:r>
          </w:p>
        </w:tc>
        <w:tc>
          <w:tcPr>
            <w:tcW w:w="3140" w:type="dxa"/>
            <w:tcBorders>
              <w:top w:val="single" w:color="auto" w:sz="4" w:space="0"/>
              <w:left w:val="single" w:color="auto" w:sz="4" w:space="0"/>
              <w:bottom w:val="single" w:color="auto" w:sz="4" w:space="0"/>
              <w:right w:val="single" w:color="auto" w:sz="4" w:space="0"/>
            </w:tcBorders>
            <w:vAlign w:val="center"/>
          </w:tcPr>
          <w:p w14:paraId="5685DF4A">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若传感器校准后误差仍超标，更换传感器；2. 若PLC逻辑故障，排查程序或硬件，联系控制器厂家技术支持修复</w:t>
            </w:r>
          </w:p>
        </w:tc>
      </w:tr>
      <w:tr w14:paraId="6F1D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674" w:type="dxa"/>
            <w:tcBorders>
              <w:top w:val="single" w:color="auto" w:sz="4" w:space="0"/>
              <w:left w:val="single" w:color="auto" w:sz="4" w:space="0"/>
              <w:bottom w:val="single" w:color="auto" w:sz="4" w:space="0"/>
              <w:right w:val="single" w:color="auto" w:sz="4" w:space="0"/>
            </w:tcBorders>
            <w:vAlign w:val="center"/>
          </w:tcPr>
          <w:p w14:paraId="052F42D1">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机房配套设施</w:t>
            </w:r>
          </w:p>
        </w:tc>
        <w:tc>
          <w:tcPr>
            <w:tcW w:w="1258" w:type="dxa"/>
            <w:tcBorders>
              <w:top w:val="single" w:color="auto" w:sz="4" w:space="0"/>
              <w:left w:val="single" w:color="auto" w:sz="4" w:space="0"/>
              <w:bottom w:val="single" w:color="auto" w:sz="4" w:space="0"/>
              <w:right w:val="single" w:color="auto" w:sz="4" w:space="0"/>
            </w:tcBorders>
            <w:vAlign w:val="center"/>
          </w:tcPr>
          <w:p w14:paraId="0D703F25">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消防与通风系统检查</w:t>
            </w:r>
          </w:p>
        </w:tc>
        <w:tc>
          <w:tcPr>
            <w:tcW w:w="4192" w:type="dxa"/>
            <w:tcBorders>
              <w:top w:val="single" w:color="auto" w:sz="4" w:space="0"/>
              <w:left w:val="single" w:color="auto" w:sz="4" w:space="0"/>
              <w:bottom w:val="single" w:color="auto" w:sz="4" w:space="0"/>
              <w:right w:val="single" w:color="auto" w:sz="4" w:space="0"/>
            </w:tcBorders>
            <w:vAlign w:val="center"/>
          </w:tcPr>
          <w:p w14:paraId="5866E31A">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检查机房内灭火器压力、有效期，更换过期或压力不足的灭火器；2. 测试机房通风系统（排风扇、新风阀）运行状态；3. 检查燃气报警系统，用标准气样测试报警灵敏度</w:t>
            </w:r>
          </w:p>
        </w:tc>
        <w:tc>
          <w:tcPr>
            <w:tcW w:w="3486" w:type="dxa"/>
            <w:tcBorders>
              <w:top w:val="single" w:color="auto" w:sz="4" w:space="0"/>
              <w:left w:val="single" w:color="auto" w:sz="4" w:space="0"/>
              <w:bottom w:val="single" w:color="auto" w:sz="4" w:space="0"/>
              <w:right w:val="single" w:color="auto" w:sz="4" w:space="0"/>
            </w:tcBorders>
            <w:vAlign w:val="center"/>
          </w:tcPr>
          <w:p w14:paraId="35E3BE2A">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灭火器全部在有效期内，压力正常；2. 通风系统运行正常，风量满足机房散热需求；3. 燃气报警系统在燃气浓度达到爆炸下限20%时触发报警</w:t>
            </w:r>
          </w:p>
        </w:tc>
        <w:tc>
          <w:tcPr>
            <w:tcW w:w="2245" w:type="dxa"/>
            <w:tcBorders>
              <w:top w:val="single" w:color="auto" w:sz="4" w:space="0"/>
              <w:left w:val="single" w:color="auto" w:sz="4" w:space="0"/>
              <w:bottom w:val="single" w:color="auto" w:sz="4" w:space="0"/>
              <w:right w:val="single" w:color="auto" w:sz="4" w:space="0"/>
            </w:tcBorders>
            <w:vAlign w:val="center"/>
          </w:tcPr>
          <w:p w14:paraId="568FFD9B">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记录灭火器检查结果（数量、有效期）、通风系统运行参数、燃气报警测试浓度及响应时间</w:t>
            </w:r>
          </w:p>
        </w:tc>
        <w:tc>
          <w:tcPr>
            <w:tcW w:w="3140" w:type="dxa"/>
            <w:tcBorders>
              <w:top w:val="single" w:color="auto" w:sz="4" w:space="0"/>
              <w:left w:val="single" w:color="auto" w:sz="4" w:space="0"/>
              <w:bottom w:val="single" w:color="auto" w:sz="4" w:space="0"/>
              <w:right w:val="single" w:color="auto" w:sz="4" w:space="0"/>
            </w:tcBorders>
            <w:vAlign w:val="center"/>
          </w:tcPr>
          <w:p w14:paraId="2B40DA93">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若灭火器过期或压力不足，立即更换；2. 若通风系统故障，维修或更换风机/阀门，确保机房通风；3. 若燃气报警系统灵敏度不达标，校准传感器或更换报警器</w:t>
            </w:r>
          </w:p>
        </w:tc>
      </w:tr>
    </w:tbl>
    <w:p w14:paraId="295A8C2C">
      <w:pPr>
        <w:spacing w:before="120" w:after="120" w:line="288" w:lineRule="auto"/>
        <w:ind w:left="0"/>
        <w:jc w:val="left"/>
        <w:rPr>
          <w:rFonts w:hint="eastAsia" w:ascii="方正仿宋_GB18030" w:hAnsi="方正仿宋_GB18030" w:eastAsia="方正仿宋_GB18030" w:cs="方正仿宋_GB18030"/>
          <w:b/>
          <w:bCs/>
          <w:sz w:val="20"/>
          <w:szCs w:val="20"/>
        </w:rPr>
      </w:pPr>
    </w:p>
    <w:p w14:paraId="4018FCB1">
      <w:pPr>
        <w:spacing w:before="120" w:after="120" w:line="288" w:lineRule="auto"/>
        <w:ind w:left="0"/>
        <w:jc w:val="left"/>
        <w:rPr>
          <w:rFonts w:hint="eastAsia" w:ascii="方正仿宋_GB18030" w:hAnsi="方正仿宋_GB18030" w:eastAsia="方正仿宋_GB18030" w:cs="方正仿宋_GB18030"/>
          <w:b/>
          <w:bCs/>
          <w:sz w:val="20"/>
          <w:szCs w:val="20"/>
        </w:rPr>
      </w:pPr>
    </w:p>
    <w:p w14:paraId="26A8CF55">
      <w:pPr>
        <w:spacing w:before="120" w:after="120" w:line="288" w:lineRule="auto"/>
        <w:ind w:left="0"/>
        <w:jc w:val="left"/>
        <w:rPr>
          <w:rFonts w:hint="eastAsia" w:ascii="方正仿宋_GB18030" w:hAnsi="方正仿宋_GB18030" w:eastAsia="方正仿宋_GB18030" w:cs="方正仿宋_GB18030"/>
          <w:b/>
          <w:bCs/>
          <w:sz w:val="20"/>
          <w:szCs w:val="20"/>
        </w:rPr>
      </w:pPr>
    </w:p>
    <w:p w14:paraId="3D1BFBAA">
      <w:pPr>
        <w:spacing w:before="120" w:after="120" w:line="288" w:lineRule="auto"/>
        <w:ind w:left="0"/>
        <w:jc w:val="left"/>
        <w:rPr>
          <w:rFonts w:hint="eastAsia" w:ascii="方正仿宋_GB18030" w:hAnsi="方正仿宋_GB18030" w:eastAsia="方正仿宋_GB18030" w:cs="方正仿宋_GB18030"/>
          <w:b/>
          <w:bCs/>
          <w:sz w:val="20"/>
          <w:szCs w:val="20"/>
        </w:rPr>
      </w:pPr>
    </w:p>
    <w:p w14:paraId="5EE6B48F">
      <w:pPr>
        <w:spacing w:before="120" w:after="120" w:line="288" w:lineRule="auto"/>
        <w:ind w:left="0"/>
        <w:jc w:val="left"/>
        <w:rPr>
          <w:rFonts w:hint="eastAsia" w:ascii="方正仿宋_GB18030" w:hAnsi="方正仿宋_GB18030" w:eastAsia="方正仿宋_GB18030" w:cs="方正仿宋_GB18030"/>
          <w:b/>
          <w:bCs/>
          <w:sz w:val="20"/>
          <w:szCs w:val="20"/>
        </w:rPr>
      </w:pPr>
    </w:p>
    <w:p w14:paraId="50E851DE">
      <w:pPr>
        <w:spacing w:before="120" w:after="120" w:line="288" w:lineRule="auto"/>
        <w:ind w:left="0"/>
        <w:jc w:val="left"/>
        <w:rPr>
          <w:rFonts w:hint="eastAsia" w:ascii="方正仿宋_GB18030" w:hAnsi="方正仿宋_GB18030" w:eastAsia="方正仿宋_GB18030" w:cs="方正仿宋_GB18030"/>
          <w:b/>
          <w:bCs/>
          <w:sz w:val="20"/>
          <w:szCs w:val="20"/>
        </w:rPr>
      </w:pPr>
    </w:p>
    <w:p w14:paraId="01E6947B">
      <w:pPr>
        <w:spacing w:before="120" w:after="120" w:line="288" w:lineRule="auto"/>
        <w:ind w:left="0"/>
        <w:jc w:val="left"/>
        <w:rPr>
          <w:rFonts w:hint="eastAsia" w:ascii="方正仿宋_GB18030" w:hAnsi="方正仿宋_GB18030" w:eastAsia="方正仿宋_GB18030" w:cs="方正仿宋_GB18030"/>
          <w:b/>
          <w:bCs/>
          <w:sz w:val="20"/>
          <w:szCs w:val="20"/>
        </w:rPr>
      </w:pPr>
    </w:p>
    <w:p w14:paraId="22E99878">
      <w:pPr>
        <w:spacing w:before="120" w:after="120" w:line="288" w:lineRule="auto"/>
        <w:ind w:left="0"/>
        <w:jc w:val="left"/>
        <w:rPr>
          <w:rFonts w:hint="eastAsia" w:ascii="方正仿宋_GB18030" w:hAnsi="方正仿宋_GB18030" w:eastAsia="方正仿宋_GB18030" w:cs="方正仿宋_GB18030"/>
          <w:b/>
          <w:bCs/>
          <w:sz w:val="20"/>
          <w:szCs w:val="20"/>
        </w:rPr>
      </w:pPr>
    </w:p>
    <w:p w14:paraId="2C5B1342">
      <w:pPr>
        <w:spacing w:before="120" w:after="120" w:line="288" w:lineRule="auto"/>
        <w:ind w:left="0"/>
        <w:jc w:val="left"/>
        <w:rPr>
          <w:rFonts w:hint="eastAsia" w:ascii="方正仿宋_GB18030" w:hAnsi="方正仿宋_GB18030" w:eastAsia="方正仿宋_GB18030" w:cs="方正仿宋_GB18030"/>
          <w:b/>
          <w:bCs/>
          <w:sz w:val="20"/>
          <w:szCs w:val="20"/>
        </w:rPr>
      </w:pPr>
    </w:p>
    <w:p w14:paraId="444BA223">
      <w:pPr>
        <w:spacing w:before="120" w:after="120" w:line="288" w:lineRule="auto"/>
        <w:ind w:left="0"/>
        <w:jc w:val="left"/>
        <w:rPr>
          <w:rFonts w:hint="eastAsia" w:ascii="方正仿宋_GB18030" w:hAnsi="方正仿宋_GB18030" w:eastAsia="方正仿宋_GB18030" w:cs="方正仿宋_GB18030"/>
          <w:b/>
          <w:bCs/>
          <w:sz w:val="20"/>
          <w:szCs w:val="20"/>
        </w:rPr>
      </w:pPr>
    </w:p>
    <w:p w14:paraId="242D013B">
      <w:pPr>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b/>
          <w:bCs/>
          <w:sz w:val="20"/>
          <w:szCs w:val="20"/>
        </w:rPr>
        <w:br w:type="textWrapping"/>
      </w:r>
      <w:r>
        <w:rPr>
          <w:rFonts w:hint="eastAsia" w:ascii="方正仿宋_GB18030" w:hAnsi="方正仿宋_GB18030" w:eastAsia="方正仿宋_GB18030" w:cs="方正仿宋_GB18030"/>
          <w:b/>
          <w:bCs/>
          <w:sz w:val="20"/>
          <w:szCs w:val="20"/>
        </w:rPr>
        <w:t>6. 日常免费维修项目清单（合同范围内）</w:t>
      </w:r>
    </w:p>
    <w:tbl>
      <w:tblPr>
        <w:tblStyle w:val="2"/>
        <w:tblW w:w="15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6" w:type="dxa"/>
          <w:left w:w="96" w:type="dxa"/>
          <w:bottom w:w="56" w:type="dxa"/>
          <w:right w:w="96" w:type="dxa"/>
        </w:tblCellMar>
      </w:tblPr>
      <w:tblGrid>
        <w:gridCol w:w="1786"/>
        <w:gridCol w:w="2696"/>
        <w:gridCol w:w="3092"/>
        <w:gridCol w:w="3109"/>
        <w:gridCol w:w="2258"/>
        <w:gridCol w:w="2897"/>
      </w:tblGrid>
      <w:tr w14:paraId="541F5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tblHeader/>
          <w:jc w:val="center"/>
        </w:trPr>
        <w:tc>
          <w:tcPr>
            <w:tcW w:w="1786" w:type="dxa"/>
            <w:vAlign w:val="center"/>
          </w:tcPr>
          <w:p w14:paraId="01BDB2A8">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项目类别</w:t>
            </w:r>
          </w:p>
        </w:tc>
        <w:tc>
          <w:tcPr>
            <w:tcW w:w="2696" w:type="dxa"/>
            <w:vAlign w:val="center"/>
          </w:tcPr>
          <w:p w14:paraId="3ECC8335">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具体维修项目</w:t>
            </w:r>
          </w:p>
        </w:tc>
        <w:tc>
          <w:tcPr>
            <w:tcW w:w="3092" w:type="dxa"/>
            <w:vAlign w:val="center"/>
          </w:tcPr>
          <w:p w14:paraId="669096A0">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维修范围界定</w:t>
            </w:r>
          </w:p>
        </w:tc>
        <w:tc>
          <w:tcPr>
            <w:tcW w:w="3109" w:type="dxa"/>
            <w:vAlign w:val="center"/>
          </w:tcPr>
          <w:p w14:paraId="48D07C37">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维修标准</w:t>
            </w:r>
          </w:p>
        </w:tc>
        <w:tc>
          <w:tcPr>
            <w:tcW w:w="2258" w:type="dxa"/>
            <w:vAlign w:val="center"/>
          </w:tcPr>
          <w:p w14:paraId="728F6BD1">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记录要求</w:t>
            </w:r>
          </w:p>
        </w:tc>
        <w:tc>
          <w:tcPr>
            <w:tcW w:w="2897" w:type="dxa"/>
            <w:vAlign w:val="center"/>
          </w:tcPr>
          <w:p w14:paraId="69DFC959">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异常处理要求</w:t>
            </w:r>
          </w:p>
          <w:p w14:paraId="28050F3D">
            <w:pPr>
              <w:snapToGrid w:val="0"/>
              <w:spacing w:before="120" w:after="120" w:line="288" w:lineRule="auto"/>
              <w:ind w:left="0"/>
              <w:jc w:val="center"/>
              <w:rPr>
                <w:rFonts w:hint="eastAsia" w:ascii="方正仿宋_GB18030" w:hAnsi="方正仿宋_GB18030" w:eastAsia="方正仿宋_GB18030" w:cs="方正仿宋_GB18030"/>
                <w:b/>
                <w:sz w:val="20"/>
                <w:szCs w:val="20"/>
                <w:lang w:eastAsia="zh-CN"/>
              </w:rPr>
            </w:pPr>
            <w:r>
              <w:rPr>
                <w:rFonts w:hint="eastAsia" w:ascii="方正仿宋_GB18030" w:hAnsi="方正仿宋_GB18030" w:eastAsia="方正仿宋_GB18030" w:cs="方正仿宋_GB18030"/>
                <w:b/>
                <w:sz w:val="20"/>
                <w:szCs w:val="20"/>
                <w:lang w:eastAsia="zh-CN"/>
              </w:rPr>
              <w:t>（超出免费范围）</w:t>
            </w:r>
          </w:p>
        </w:tc>
      </w:tr>
      <w:tr w14:paraId="309C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786" w:type="dxa"/>
            <w:vAlign w:val="center"/>
          </w:tcPr>
          <w:p w14:paraId="36936008">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锅炉本体附件维修</w:t>
            </w:r>
          </w:p>
        </w:tc>
        <w:tc>
          <w:tcPr>
            <w:tcW w:w="2696" w:type="dxa"/>
            <w:vAlign w:val="center"/>
          </w:tcPr>
          <w:p w14:paraId="59C0D39E">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人孔/手孔密封垫片更换；2. 锅炉本体压力表、温度计更换（含常规型号）；3. 锅炉排污阀阀芯、密封件更换</w:t>
            </w:r>
          </w:p>
        </w:tc>
        <w:tc>
          <w:tcPr>
            <w:tcW w:w="3092" w:type="dxa"/>
            <w:vAlign w:val="center"/>
          </w:tcPr>
          <w:p w14:paraId="583E8F1C">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仅含常规规格密封垫片（如耐温≤200℃、耐压≤2.5MPa）；2. 压力表量程≤4MPa、精度1.6级，温度计量程≤200℃、精度1.5级；3. 排污阀规格≤DN50</w:t>
            </w:r>
          </w:p>
        </w:tc>
        <w:tc>
          <w:tcPr>
            <w:tcW w:w="3109" w:type="dxa"/>
            <w:vAlign w:val="center"/>
          </w:tcPr>
          <w:p w14:paraId="57E0207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更换后密封良好，无泄漏；2. 新表计量准确（若有近期检定报告优先）；3. 排污阀开关灵活，关闭后无渗漏</w:t>
            </w:r>
          </w:p>
        </w:tc>
        <w:tc>
          <w:tcPr>
            <w:tcW w:w="2258" w:type="dxa"/>
            <w:vAlign w:val="center"/>
          </w:tcPr>
          <w:p w14:paraId="195A534C">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填写《日常维修记录表》，记录维修项目、更换配件型号/规格、维修时间、测试结果</w:t>
            </w:r>
          </w:p>
        </w:tc>
        <w:tc>
          <w:tcPr>
            <w:tcW w:w="2897" w:type="dxa"/>
            <w:vAlign w:val="center"/>
          </w:tcPr>
          <w:p w14:paraId="36C1143A">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若需更换特殊规格垫片（如耐温＞200℃）、高精度仪表（精度＞1.6级），需额外计费；2. 若排污阀阀体损坏（非阀芯、密封件问题），更换阀体需额外计费</w:t>
            </w:r>
          </w:p>
        </w:tc>
      </w:tr>
      <w:tr w14:paraId="284ED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786" w:type="dxa"/>
            <w:vAlign w:val="center"/>
          </w:tcPr>
          <w:p w14:paraId="59D55A0A">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燃烧系统维修</w:t>
            </w:r>
          </w:p>
        </w:tc>
        <w:tc>
          <w:tcPr>
            <w:tcW w:w="2696" w:type="dxa"/>
            <w:vAlign w:val="center"/>
          </w:tcPr>
          <w:p w14:paraId="76719470">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燃烧器火焰探测器、点火电极更换（同型号）；2. 燃气过滤器滤芯更换；3. 燃烧器小风门、小燃气阀调整</w:t>
            </w:r>
          </w:p>
        </w:tc>
        <w:tc>
          <w:tcPr>
            <w:tcW w:w="3092" w:type="dxa"/>
            <w:vAlign w:val="center"/>
          </w:tcPr>
          <w:p w14:paraId="59B63A3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仅更换与原设备同品牌、同型号的探测器、电极；2. 滤芯规格与原过滤器匹配；3. 调整范围限于常规运行参数（非拆解大修）</w:t>
            </w:r>
          </w:p>
        </w:tc>
        <w:tc>
          <w:tcPr>
            <w:tcW w:w="3109" w:type="dxa"/>
            <w:vAlign w:val="center"/>
          </w:tcPr>
          <w:p w14:paraId="0562CBD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更换后燃烧器点火正常，火焰检测无故障；2. 滤芯更换后燃气流通顺畅，无杂质；3. 调整后燃烧稳定，排烟达标（O₂3%-6%、CO≤100ppm）</w:t>
            </w:r>
          </w:p>
        </w:tc>
        <w:tc>
          <w:tcPr>
            <w:tcW w:w="2258" w:type="dxa"/>
            <w:vAlign w:val="center"/>
          </w:tcPr>
          <w:p w14:paraId="021D41AE">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记录更换配件型号、调整参数、维修后燃烧测试数据</w:t>
            </w:r>
          </w:p>
        </w:tc>
        <w:tc>
          <w:tcPr>
            <w:tcW w:w="2897" w:type="dxa"/>
            <w:vAlign w:val="center"/>
          </w:tcPr>
          <w:p w14:paraId="31DD4E5F">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若需更换不同品牌/型号配件（需适配改造），额外计费；2. 若燃烧器需拆解大修（如电机维修、阀组更换），超出免费范围，需单独报价</w:t>
            </w:r>
          </w:p>
        </w:tc>
      </w:tr>
      <w:tr w14:paraId="7C5A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786" w:type="dxa"/>
            <w:vAlign w:val="center"/>
          </w:tcPr>
          <w:p w14:paraId="63BC04FE">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水循环/水汽系统维修</w:t>
            </w:r>
          </w:p>
        </w:tc>
        <w:tc>
          <w:tcPr>
            <w:tcW w:w="2696" w:type="dxa"/>
            <w:vAlign w:val="center"/>
          </w:tcPr>
          <w:p w14:paraId="1F05F6E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给水泵/循环泵/补水泵密封填料更换；2. 水泵轴承润滑脂补充（常规型号锂基脂）；3. 水泵进出口阀门（≤DN80）阀芯、密封件更换</w:t>
            </w:r>
          </w:p>
        </w:tc>
        <w:tc>
          <w:tcPr>
            <w:tcW w:w="3092" w:type="dxa"/>
            <w:vAlign w:val="center"/>
          </w:tcPr>
          <w:p w14:paraId="24F0337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密封填料为常规耐水型（如芳纶填料）；2. 润滑脂为锂基脂（耐温≤120℃）；3. 阀门规格限于DN80及以下，且为常规闸阀、截止阀</w:t>
            </w:r>
          </w:p>
        </w:tc>
        <w:tc>
          <w:tcPr>
            <w:tcW w:w="3109" w:type="dxa"/>
            <w:vAlign w:val="center"/>
          </w:tcPr>
          <w:p w14:paraId="3C6736A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填料更换后渗漏量≤10滴/分钟；2. 润滑脂补充后轴承温度≤75℃；3. 阀门更换配件后开关灵活，无泄漏</w:t>
            </w:r>
          </w:p>
        </w:tc>
        <w:tc>
          <w:tcPr>
            <w:tcW w:w="2258" w:type="dxa"/>
            <w:vAlign w:val="center"/>
          </w:tcPr>
          <w:p w14:paraId="18F443D8">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记录更换填料型号、润滑脂品牌、阀门规格、维修后测试数据（如轴承温度、渗漏量）</w:t>
            </w:r>
          </w:p>
        </w:tc>
        <w:tc>
          <w:tcPr>
            <w:tcW w:w="2897" w:type="dxa"/>
            <w:vAlign w:val="center"/>
          </w:tcPr>
          <w:p w14:paraId="11DABB02">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若需更换特殊填料（如耐温＞120℃）、专用润滑脂，额外计费；2. 若水泵电机损坏、阀门阀体破裂，需更换电机或阀体，超出免费范围，单独报价</w:t>
            </w:r>
          </w:p>
        </w:tc>
      </w:tr>
      <w:tr w14:paraId="101C2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786" w:type="dxa"/>
            <w:vAlign w:val="center"/>
          </w:tcPr>
          <w:p w14:paraId="1114A5CC">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安全附件维修</w:t>
            </w:r>
          </w:p>
        </w:tc>
        <w:tc>
          <w:tcPr>
            <w:tcW w:w="2696" w:type="dxa"/>
            <w:vAlign w:val="center"/>
          </w:tcPr>
          <w:p w14:paraId="0757C208">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安全阀手动排气阀密封件更换；2. 安全阀铅封重新紧固（非校验原因）；3. 燃气紧急切断阀电磁线圈更换（同型号）</w:t>
            </w:r>
          </w:p>
        </w:tc>
        <w:tc>
          <w:tcPr>
            <w:tcW w:w="3092" w:type="dxa"/>
            <w:vAlign w:val="center"/>
          </w:tcPr>
          <w:p w14:paraId="0FDE1D9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仅含排气阀常规密封件；2. 铅封损坏为意外松动（非校验到期或违规拆卸）；3. 线圈型号与原阀门匹配</w:t>
            </w:r>
          </w:p>
        </w:tc>
        <w:tc>
          <w:tcPr>
            <w:tcW w:w="3109" w:type="dxa"/>
            <w:vAlign w:val="center"/>
          </w:tcPr>
          <w:p w14:paraId="17D82E7A">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密封件更换后无泄漏；2. 铅封重新紧固后完好，符合特种设备要求；3. 线圈更换后阀门动作正常（触发后10秒内关闭）</w:t>
            </w:r>
          </w:p>
        </w:tc>
        <w:tc>
          <w:tcPr>
            <w:tcW w:w="2258" w:type="dxa"/>
            <w:vAlign w:val="center"/>
          </w:tcPr>
          <w:p w14:paraId="55F43B4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记录维修原因、更换配件型号、铅封编号（若有）、阀门动作测试结果</w:t>
            </w:r>
          </w:p>
        </w:tc>
        <w:tc>
          <w:tcPr>
            <w:tcW w:w="2897" w:type="dxa"/>
            <w:vAlign w:val="center"/>
          </w:tcPr>
          <w:p w14:paraId="33F2F29A">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若安全阀需重新校验（到期或故障），校验费用超出免费范围；2. 若紧急切断阀阀体损坏，更换阀体需额外计费</w:t>
            </w:r>
          </w:p>
        </w:tc>
      </w:tr>
      <w:tr w14:paraId="0F1C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786" w:type="dxa"/>
            <w:vAlign w:val="center"/>
          </w:tcPr>
          <w:p w14:paraId="020DCB18">
            <w:pPr>
              <w:snapToGrid w:val="0"/>
              <w:spacing w:before="120" w:after="120" w:line="288" w:lineRule="auto"/>
              <w:ind w:left="0"/>
              <w:jc w:val="center"/>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电气控制系统维修</w:t>
            </w:r>
          </w:p>
        </w:tc>
        <w:tc>
          <w:tcPr>
            <w:tcW w:w="2696" w:type="dxa"/>
            <w:vAlign w:val="center"/>
          </w:tcPr>
          <w:p w14:paraId="133811B0">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控制箱内接触器、继电器辅助触点清洁；2. 线路接头重新紧固（松动导致的故障）；3. 指示灯、按钮开关更换（同规格）</w:t>
            </w:r>
          </w:p>
        </w:tc>
        <w:tc>
          <w:tcPr>
            <w:tcW w:w="3092" w:type="dxa"/>
            <w:vAlign w:val="center"/>
          </w:tcPr>
          <w:p w14:paraId="20EA7D49">
            <w:pPr>
              <w:snapToGrid w:val="0"/>
              <w:spacing w:before="120" w:after="120" w:line="288" w:lineRule="auto"/>
              <w:ind w:left="0"/>
              <w:jc w:val="left"/>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z w:val="20"/>
                <w:szCs w:val="20"/>
              </w:rPr>
              <w:t>1. 仅清洁辅助触点（非主触点烧蚀）；2. 线路松动为安装或振动导致（非线路老化）；3. 指示灯、按钮规格</w:t>
            </w:r>
          </w:p>
        </w:tc>
        <w:tc>
          <w:tcPr>
            <w:tcW w:w="3109" w:type="dxa"/>
            <w:vAlign w:val="center"/>
          </w:tcPr>
          <w:p w14:paraId="4C9C6CCF">
            <w:pPr>
              <w:snapToGrid w:val="0"/>
              <w:spacing w:before="120" w:after="120" w:line="288" w:lineRule="auto"/>
              <w:ind w:left="0"/>
              <w:jc w:val="left"/>
              <w:rPr>
                <w:rFonts w:hint="eastAsia" w:ascii="方正仿宋_GB18030" w:hAnsi="方正仿宋_GB18030" w:eastAsia="方正仿宋_GB18030" w:cs="方正仿宋_GB18030"/>
                <w:sz w:val="20"/>
                <w:szCs w:val="20"/>
              </w:rPr>
            </w:pPr>
          </w:p>
        </w:tc>
        <w:tc>
          <w:tcPr>
            <w:tcW w:w="2258" w:type="dxa"/>
            <w:vAlign w:val="center"/>
          </w:tcPr>
          <w:p w14:paraId="2A0F5CF0">
            <w:pPr>
              <w:snapToGrid w:val="0"/>
              <w:spacing w:before="120" w:after="120" w:line="288" w:lineRule="auto"/>
              <w:ind w:left="0"/>
              <w:jc w:val="left"/>
              <w:rPr>
                <w:rFonts w:hint="eastAsia" w:ascii="方正仿宋_GB18030" w:hAnsi="方正仿宋_GB18030" w:eastAsia="方正仿宋_GB18030" w:cs="方正仿宋_GB18030"/>
                <w:sz w:val="20"/>
                <w:szCs w:val="20"/>
              </w:rPr>
            </w:pPr>
          </w:p>
        </w:tc>
        <w:tc>
          <w:tcPr>
            <w:tcW w:w="2897" w:type="dxa"/>
            <w:vAlign w:val="center"/>
          </w:tcPr>
          <w:p w14:paraId="63B51A3A">
            <w:pPr>
              <w:snapToGrid w:val="0"/>
              <w:spacing w:before="120" w:after="120" w:line="288" w:lineRule="auto"/>
              <w:ind w:left="0"/>
              <w:jc w:val="left"/>
              <w:rPr>
                <w:rFonts w:hint="eastAsia" w:ascii="方正仿宋_GB18030" w:hAnsi="方正仿宋_GB18030" w:eastAsia="方正仿宋_GB18030" w:cs="方正仿宋_GB18030"/>
                <w:sz w:val="20"/>
                <w:szCs w:val="20"/>
              </w:rPr>
            </w:pPr>
          </w:p>
        </w:tc>
      </w:tr>
    </w:tbl>
    <w:p w14:paraId="17376BD3">
      <w:pPr>
        <w:rPr>
          <w:rFonts w:ascii="Arial" w:hAnsi="Arial" w:eastAsia="等线" w:cs="Arial"/>
          <w:sz w:val="22"/>
          <w:szCs w:val="22"/>
        </w:rPr>
        <w:sectPr>
          <w:pgSz w:w="16838" w:h="11906" w:orient="landscape"/>
          <w:pgMar w:top="1800" w:right="1440" w:bottom="1800" w:left="1440" w:header="851" w:footer="992" w:gutter="0"/>
          <w:pgNumType w:fmt="decimal"/>
          <w:cols w:space="425" w:num="1"/>
          <w:docGrid w:type="lines" w:linePitch="312" w:charSpace="0"/>
        </w:sectPr>
      </w:pPr>
    </w:p>
    <w:p w14:paraId="6921CDA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方正仿宋_GB18030">
    <w:panose1 w:val="02000000000000000000"/>
    <w:charset w:val="86"/>
    <w:family w:val="auto"/>
    <w:pitch w:val="default"/>
    <w:sig w:usb0="00000001" w:usb1="08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621C1">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D7BE81">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80</w:t>
                          </w:r>
                          <w:r>
                            <w:rPr>
                              <w:rFonts w:ascii="Calibri" w:hAnsi="Calibri" w:eastAsia="宋体" w:cs="Times New Roman"/>
                              <w:kern w:val="2"/>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2FD7BE81">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80</w:t>
                    </w:r>
                    <w:r>
                      <w:rPr>
                        <w:rFonts w:ascii="Calibri" w:hAnsi="Calibri" w:eastAsia="宋体" w:cs="Times New Roman"/>
                        <w:kern w:val="2"/>
                        <w:sz w:val="18"/>
                        <w:szCs w:val="24"/>
                        <w:lang w:val="en-US" w:eastAsia="zh-CN" w:bidi="ar-S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A4416D"/>
    <w:multiLevelType w:val="singleLevel"/>
    <w:tmpl w:val="ABA4416D"/>
    <w:lvl w:ilvl="0" w:tentative="0">
      <w:start w:val="2"/>
      <w:numFmt w:val="chineseCounting"/>
      <w:suff w:val="nothing"/>
      <w:lvlText w:val="%1、"/>
      <w:lvlJc w:val="left"/>
      <w:pPr>
        <w:ind w:left="12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815D79"/>
    <w:rsid w:val="4F815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4</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2025-10-11T02:27:00Z</dcterms:created>
  <dc:creator>WPS_1547766961</dc:creator>
  <cp:lastModifiedBy>澈泉若然</cp:lastModifiedBy>
  <dcterms:modified xsi:type="dcterms:W3CDTF">2025-10-11T02:32:28Z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582E6133355D4E8F8C004EF3B15148D3_11</vt:lpwstr>
  </property>
  <property fmtid="{D5CDD505-2E9C-101B-9397-08002B2CF9AE}" pid="4" name="KSOTemplateDocerSaveRecord">
    <vt:lpwstr>eyJoZGlkIjoiODdmNzZjNjZjZjUxNmNlNDZlMGRhODllZGI5OGM5NTciLCJ1c2VySWQiOiIzNDM3MDY1MDgifQ==</vt:lpwstr>
  </property>
</Properties>
</file>